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9A" w:rsidRDefault="00BB5B9A" w:rsidP="00BB5B9A">
      <w:pPr>
        <w:pStyle w:val="Heading1"/>
        <w:spacing w:before="1"/>
      </w:pPr>
      <w:r>
        <w:t>What</w:t>
      </w:r>
      <w:r>
        <w:rPr>
          <w:spacing w:val="-1"/>
        </w:rPr>
        <w:t xml:space="preserve"> </w:t>
      </w:r>
      <w:r>
        <w:t>is</w:t>
      </w:r>
      <w:r>
        <w:rPr>
          <w:spacing w:val="-1"/>
        </w:rPr>
        <w:t xml:space="preserve"> </w:t>
      </w:r>
      <w:r>
        <w:t>“harm” and</w:t>
      </w:r>
      <w:r>
        <w:rPr>
          <w:spacing w:val="-1"/>
        </w:rPr>
        <w:t xml:space="preserve"> </w:t>
      </w:r>
      <w:r>
        <w:t>who</w:t>
      </w:r>
      <w:r>
        <w:rPr>
          <w:spacing w:val="-1"/>
        </w:rPr>
        <w:t xml:space="preserve"> </w:t>
      </w:r>
      <w:r>
        <w:t>may</w:t>
      </w:r>
      <w:r>
        <w:rPr>
          <w:spacing w:val="-1"/>
        </w:rPr>
        <w:t xml:space="preserve"> </w:t>
      </w:r>
      <w:r>
        <w:t>be considered</w:t>
      </w:r>
      <w:r>
        <w:rPr>
          <w:spacing w:val="-1"/>
        </w:rPr>
        <w:t xml:space="preserve"> </w:t>
      </w:r>
      <w:r>
        <w:t>“at</w:t>
      </w:r>
      <w:r>
        <w:rPr>
          <w:spacing w:val="-1"/>
        </w:rPr>
        <w:t xml:space="preserve"> </w:t>
      </w:r>
      <w:r>
        <w:rPr>
          <w:spacing w:val="-2"/>
        </w:rPr>
        <w:t>risk”?</w:t>
      </w:r>
    </w:p>
    <w:p w:rsidR="00BB5B9A" w:rsidRDefault="00BB5B9A" w:rsidP="00BB5B9A">
      <w:pPr>
        <w:pStyle w:val="BodyText"/>
        <w:spacing w:before="275"/>
        <w:ind w:left="1057" w:right="694"/>
      </w:pPr>
      <w:r>
        <w:t>To meet the second point of the three-point criteria the adult must be assessed as</w:t>
      </w:r>
      <w:r>
        <w:rPr>
          <w:spacing w:val="-2"/>
        </w:rPr>
        <w:t xml:space="preserve"> </w:t>
      </w:r>
      <w:r>
        <w:t>being</w:t>
      </w:r>
      <w:r>
        <w:rPr>
          <w:spacing w:val="-2"/>
        </w:rPr>
        <w:t xml:space="preserve"> </w:t>
      </w:r>
      <w:r>
        <w:t>at</w:t>
      </w:r>
      <w:r>
        <w:rPr>
          <w:spacing w:val="-2"/>
        </w:rPr>
        <w:t xml:space="preserve"> </w:t>
      </w:r>
      <w:r>
        <w:t>risk</w:t>
      </w:r>
      <w:r>
        <w:rPr>
          <w:spacing w:val="-3"/>
        </w:rPr>
        <w:t xml:space="preserve"> </w:t>
      </w:r>
      <w:r>
        <w:t>of</w:t>
      </w:r>
      <w:r>
        <w:rPr>
          <w:spacing w:val="-2"/>
        </w:rPr>
        <w:t xml:space="preserve"> </w:t>
      </w:r>
      <w:r>
        <w:t>harm.</w:t>
      </w:r>
      <w:r>
        <w:rPr>
          <w:spacing w:val="-3"/>
        </w:rPr>
        <w:t xml:space="preserve"> </w:t>
      </w:r>
      <w:hyperlink r:id="rId8">
        <w:r>
          <w:rPr>
            <w:color w:val="0000FF"/>
            <w:u w:val="single" w:color="0000FF"/>
          </w:rPr>
          <w:t>Section</w:t>
        </w:r>
        <w:r>
          <w:rPr>
            <w:color w:val="0000FF"/>
            <w:spacing w:val="-2"/>
            <w:u w:val="single" w:color="0000FF"/>
          </w:rPr>
          <w:t xml:space="preserve"> </w:t>
        </w:r>
        <w:r>
          <w:rPr>
            <w:color w:val="0000FF"/>
            <w:u w:val="single" w:color="0000FF"/>
          </w:rPr>
          <w:t>3(2)</w:t>
        </w:r>
      </w:hyperlink>
      <w:r>
        <w:rPr>
          <w:color w:val="0000FF"/>
          <w:spacing w:val="-2"/>
        </w:rPr>
        <w:t xml:space="preserve"> </w:t>
      </w:r>
      <w:r>
        <w:t>of</w:t>
      </w:r>
      <w:r>
        <w:rPr>
          <w:spacing w:val="-3"/>
        </w:rPr>
        <w:t xml:space="preserve"> </w:t>
      </w:r>
      <w:r>
        <w:t>the</w:t>
      </w:r>
      <w:r>
        <w:rPr>
          <w:spacing w:val="-2"/>
        </w:rPr>
        <w:t xml:space="preserve"> </w:t>
      </w:r>
      <w:r>
        <w:t>Act</w:t>
      </w:r>
      <w:r>
        <w:rPr>
          <w:spacing w:val="-3"/>
        </w:rPr>
        <w:t xml:space="preserve"> </w:t>
      </w:r>
      <w:r>
        <w:t>defines</w:t>
      </w:r>
      <w:r>
        <w:rPr>
          <w:spacing w:val="-2"/>
        </w:rPr>
        <w:t xml:space="preserve"> </w:t>
      </w:r>
      <w:r>
        <w:t>an</w:t>
      </w:r>
      <w:r>
        <w:rPr>
          <w:spacing w:val="-3"/>
        </w:rPr>
        <w:t xml:space="preserve"> </w:t>
      </w:r>
      <w:r>
        <w:t>adult</w:t>
      </w:r>
      <w:r>
        <w:rPr>
          <w:spacing w:val="-3"/>
        </w:rPr>
        <w:t xml:space="preserve"> </w:t>
      </w:r>
      <w:r>
        <w:t>as</w:t>
      </w:r>
      <w:r>
        <w:rPr>
          <w:spacing w:val="-2"/>
        </w:rPr>
        <w:t xml:space="preserve"> </w:t>
      </w:r>
      <w:r>
        <w:t>being</w:t>
      </w:r>
      <w:r>
        <w:rPr>
          <w:spacing w:val="-2"/>
        </w:rPr>
        <w:t xml:space="preserve"> </w:t>
      </w:r>
      <w:r>
        <w:t>at</w:t>
      </w:r>
      <w:r>
        <w:rPr>
          <w:spacing w:val="-2"/>
        </w:rPr>
        <w:t xml:space="preserve"> </w:t>
      </w:r>
      <w:r>
        <w:t>risk of harm if:</w:t>
      </w:r>
    </w:p>
    <w:p w:rsidR="00BB5B9A" w:rsidRDefault="00BB5B9A" w:rsidP="00BB5B9A">
      <w:pPr>
        <w:pStyle w:val="BodyText"/>
      </w:pPr>
    </w:p>
    <w:p w:rsidR="00BB5B9A" w:rsidRDefault="00BB5B9A" w:rsidP="00BB5B9A">
      <w:pPr>
        <w:pStyle w:val="ListParagraph"/>
        <w:numPr>
          <w:ilvl w:val="0"/>
          <w:numId w:val="1"/>
        </w:numPr>
        <w:tabs>
          <w:tab w:val="left" w:pos="2116"/>
        </w:tabs>
        <w:spacing w:before="1"/>
        <w:ind w:right="1115"/>
        <w:rPr>
          <w:sz w:val="24"/>
        </w:rPr>
      </w:pPr>
      <w:r>
        <w:rPr>
          <w:sz w:val="24"/>
        </w:rPr>
        <w:t>another</w:t>
      </w:r>
      <w:r>
        <w:rPr>
          <w:spacing w:val="-3"/>
          <w:sz w:val="24"/>
        </w:rPr>
        <w:t xml:space="preserve"> </w:t>
      </w:r>
      <w:r>
        <w:rPr>
          <w:sz w:val="24"/>
        </w:rPr>
        <w:t>person’s</w:t>
      </w:r>
      <w:r>
        <w:rPr>
          <w:spacing w:val="-3"/>
          <w:sz w:val="24"/>
        </w:rPr>
        <w:t xml:space="preserve"> </w:t>
      </w:r>
      <w:r>
        <w:rPr>
          <w:sz w:val="24"/>
        </w:rPr>
        <w:t>conduct</w:t>
      </w:r>
      <w:r>
        <w:rPr>
          <w:spacing w:val="-5"/>
          <w:sz w:val="24"/>
        </w:rPr>
        <w:t xml:space="preserve"> </w:t>
      </w:r>
      <w:r>
        <w:rPr>
          <w:sz w:val="24"/>
        </w:rPr>
        <w:t>is</w:t>
      </w:r>
      <w:r>
        <w:rPr>
          <w:spacing w:val="-3"/>
          <w:sz w:val="24"/>
        </w:rPr>
        <w:t xml:space="preserve"> </w:t>
      </w:r>
      <w:r>
        <w:rPr>
          <w:sz w:val="24"/>
        </w:rPr>
        <w:t>causing</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3"/>
          <w:sz w:val="24"/>
        </w:rPr>
        <w:t xml:space="preserve"> </w:t>
      </w:r>
      <w:r>
        <w:rPr>
          <w:sz w:val="24"/>
        </w:rPr>
        <w:t>cause)</w:t>
      </w:r>
      <w:r>
        <w:rPr>
          <w:spacing w:val="-4"/>
          <w:sz w:val="24"/>
        </w:rPr>
        <w:t xml:space="preserve"> </w:t>
      </w:r>
      <w:r>
        <w:rPr>
          <w:sz w:val="24"/>
        </w:rPr>
        <w:t>the</w:t>
      </w:r>
      <w:r>
        <w:rPr>
          <w:spacing w:val="-3"/>
          <w:sz w:val="24"/>
        </w:rPr>
        <w:t xml:space="preserve"> </w:t>
      </w:r>
      <w:r>
        <w:rPr>
          <w:sz w:val="24"/>
        </w:rPr>
        <w:t>adult harm; or</w:t>
      </w:r>
    </w:p>
    <w:p w:rsidR="00BB5B9A" w:rsidRDefault="00BB5B9A" w:rsidP="00BB5B9A">
      <w:pPr>
        <w:pStyle w:val="ListParagraph"/>
        <w:numPr>
          <w:ilvl w:val="0"/>
          <w:numId w:val="1"/>
        </w:numPr>
        <w:tabs>
          <w:tab w:val="left" w:pos="2116"/>
        </w:tabs>
        <w:spacing w:line="237" w:lineRule="auto"/>
        <w:ind w:right="889"/>
        <w:rPr>
          <w:sz w:val="24"/>
        </w:rPr>
      </w:pPr>
      <w:proofErr w:type="gramStart"/>
      <w:r>
        <w:rPr>
          <w:sz w:val="24"/>
        </w:rPr>
        <w:t>the</w:t>
      </w:r>
      <w:proofErr w:type="gramEnd"/>
      <w:r>
        <w:rPr>
          <w:spacing w:val="-3"/>
          <w:sz w:val="24"/>
        </w:rPr>
        <w:t xml:space="preserve"> </w:t>
      </w:r>
      <w:r>
        <w:rPr>
          <w:sz w:val="24"/>
        </w:rPr>
        <w:t>adult</w:t>
      </w:r>
      <w:r>
        <w:rPr>
          <w:spacing w:val="-3"/>
          <w:sz w:val="24"/>
        </w:rPr>
        <w:t xml:space="preserve"> </w:t>
      </w:r>
      <w:r>
        <w:rPr>
          <w:sz w:val="24"/>
        </w:rPr>
        <w:t>is</w:t>
      </w:r>
      <w:r>
        <w:rPr>
          <w:spacing w:val="-3"/>
          <w:sz w:val="24"/>
        </w:rPr>
        <w:t xml:space="preserve"> </w:t>
      </w:r>
      <w:r>
        <w:rPr>
          <w:sz w:val="24"/>
        </w:rPr>
        <w:t>engaging</w:t>
      </w:r>
      <w:r>
        <w:rPr>
          <w:spacing w:val="-3"/>
          <w:sz w:val="24"/>
        </w:rPr>
        <w:t xml:space="preserve"> </w:t>
      </w:r>
      <w:r>
        <w:rPr>
          <w:sz w:val="24"/>
        </w:rPr>
        <w:t>(or</w:t>
      </w:r>
      <w:r>
        <w:rPr>
          <w:spacing w:val="-3"/>
          <w:sz w:val="24"/>
        </w:rPr>
        <w:t xml:space="preserve"> </w:t>
      </w:r>
      <w:r>
        <w:rPr>
          <w:sz w:val="24"/>
        </w:rPr>
        <w:t>is</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3"/>
          <w:sz w:val="24"/>
        </w:rPr>
        <w:t xml:space="preserve"> </w:t>
      </w:r>
      <w:r>
        <w:rPr>
          <w:sz w:val="24"/>
        </w:rPr>
        <w:t>conduct</w:t>
      </w:r>
      <w:r>
        <w:rPr>
          <w:spacing w:val="-3"/>
          <w:sz w:val="24"/>
        </w:rPr>
        <w:t xml:space="preserve"> </w:t>
      </w:r>
      <w:r>
        <w:rPr>
          <w:sz w:val="24"/>
        </w:rPr>
        <w:t>which</w:t>
      </w:r>
      <w:r>
        <w:rPr>
          <w:spacing w:val="-3"/>
          <w:sz w:val="24"/>
        </w:rPr>
        <w:t xml:space="preserve"> </w:t>
      </w:r>
      <w:r>
        <w:rPr>
          <w:sz w:val="24"/>
        </w:rPr>
        <w:t>causes (or is likely to cause) self-harm.</w:t>
      </w:r>
    </w:p>
    <w:p w:rsidR="00BB5B9A" w:rsidRDefault="00BB5B9A" w:rsidP="00BB5B9A">
      <w:pPr>
        <w:pStyle w:val="BodyText"/>
        <w:spacing w:before="94"/>
      </w:pPr>
    </w:p>
    <w:p w:rsidR="00BB5B9A" w:rsidRDefault="00BB5B9A" w:rsidP="00BB5B9A">
      <w:pPr>
        <w:pStyle w:val="BodyText"/>
        <w:ind w:left="1057" w:right="589"/>
      </w:pPr>
      <w:r>
        <w:t xml:space="preserve">Adults can be at risk of harm in various settings, </w:t>
      </w:r>
      <w:proofErr w:type="gramStart"/>
      <w:r>
        <w:t>be</w:t>
      </w:r>
      <w:proofErr w:type="gramEnd"/>
      <w:r>
        <w:t xml:space="preserve"> it in their own home, in the wider</w:t>
      </w:r>
      <w:r>
        <w:rPr>
          <w:spacing w:val="-3"/>
        </w:rPr>
        <w:t xml:space="preserve"> </w:t>
      </w:r>
      <w:r>
        <w:t>community,</w:t>
      </w:r>
      <w:r>
        <w:rPr>
          <w:spacing w:val="-5"/>
        </w:rPr>
        <w:t xml:space="preserve"> </w:t>
      </w:r>
      <w:r>
        <w:t>or</w:t>
      </w:r>
      <w:r>
        <w:rPr>
          <w:spacing w:val="-3"/>
        </w:rPr>
        <w:t xml:space="preserve"> </w:t>
      </w:r>
      <w:r>
        <w:t>in</w:t>
      </w:r>
      <w:r>
        <w:rPr>
          <w:spacing w:val="-4"/>
        </w:rPr>
        <w:t xml:space="preserve"> </w:t>
      </w:r>
      <w:r>
        <w:t>a</w:t>
      </w:r>
      <w:r>
        <w:rPr>
          <w:spacing w:val="-3"/>
        </w:rPr>
        <w:t xml:space="preserve"> </w:t>
      </w:r>
      <w:r>
        <w:t>hospital</w:t>
      </w:r>
      <w:r>
        <w:rPr>
          <w:spacing w:val="-3"/>
        </w:rPr>
        <w:t xml:space="preserve"> </w:t>
      </w:r>
      <w:r>
        <w:t>setting.</w:t>
      </w:r>
      <w:r>
        <w:rPr>
          <w:spacing w:val="-3"/>
        </w:rPr>
        <w:t xml:space="preserve"> </w:t>
      </w:r>
      <w:r>
        <w:t>They</w:t>
      </w:r>
      <w:r>
        <w:rPr>
          <w:spacing w:val="-3"/>
        </w:rPr>
        <w:t xml:space="preserve"> </w:t>
      </w:r>
      <w:r>
        <w:t>also</w:t>
      </w:r>
      <w:r>
        <w:rPr>
          <w:spacing w:val="-3"/>
        </w:rPr>
        <w:t xml:space="preserve"> </w:t>
      </w:r>
      <w:r>
        <w:t>may</w:t>
      </w:r>
      <w:r>
        <w:rPr>
          <w:spacing w:val="-3"/>
        </w:rPr>
        <w:t xml:space="preserve"> </w:t>
      </w:r>
      <w:r>
        <w:t>be</w:t>
      </w:r>
      <w:r>
        <w:rPr>
          <w:spacing w:val="-3"/>
        </w:rPr>
        <w:t xml:space="preserve"> </w:t>
      </w:r>
      <w:r>
        <w:t>placed</w:t>
      </w:r>
      <w:r>
        <w:rPr>
          <w:spacing w:val="-3"/>
        </w:rPr>
        <w:t xml:space="preserve"> </w:t>
      </w:r>
      <w:r>
        <w:t>at</w:t>
      </w:r>
      <w:r>
        <w:rPr>
          <w:spacing w:val="-4"/>
        </w:rPr>
        <w:t xml:space="preserve"> </w:t>
      </w:r>
      <w:r>
        <w:t>risk</w:t>
      </w:r>
      <w:r>
        <w:rPr>
          <w:spacing w:val="-3"/>
        </w:rPr>
        <w:t xml:space="preserve"> </w:t>
      </w:r>
      <w:r>
        <w:t xml:space="preserve">through inappropriate arrangements for their care in a range of social or health care settings. Perpetrators of harm can include families and friends, informal and formal </w:t>
      </w:r>
      <w:proofErr w:type="spellStart"/>
      <w:r>
        <w:t>carers</w:t>
      </w:r>
      <w:proofErr w:type="spellEnd"/>
      <w:r>
        <w:t>, fellow users of residential and day care services, fraudsters and members of the public.</w:t>
      </w:r>
    </w:p>
    <w:p w:rsidR="00BB5B9A" w:rsidRDefault="00BB5B9A" w:rsidP="00BB5B9A">
      <w:pPr>
        <w:pStyle w:val="BodyText"/>
        <w:spacing w:before="38"/>
      </w:pPr>
    </w:p>
    <w:p w:rsidR="00BB5B9A" w:rsidRDefault="00BB5B9A" w:rsidP="00BB5B9A">
      <w:pPr>
        <w:pStyle w:val="BodyText"/>
        <w:ind w:left="1057"/>
      </w:pPr>
      <w:hyperlink r:id="rId9">
        <w:r>
          <w:rPr>
            <w:color w:val="0000FF"/>
            <w:u w:val="single" w:color="0000FF"/>
          </w:rPr>
          <w:t>Section</w:t>
        </w:r>
        <w:r>
          <w:rPr>
            <w:color w:val="0000FF"/>
            <w:spacing w:val="-3"/>
            <w:u w:val="single" w:color="0000FF"/>
          </w:rPr>
          <w:t xml:space="preserve"> </w:t>
        </w:r>
        <w:r>
          <w:rPr>
            <w:color w:val="0000FF"/>
            <w:u w:val="single" w:color="0000FF"/>
          </w:rPr>
          <w:t>53</w:t>
        </w:r>
      </w:hyperlink>
      <w:r>
        <w:rPr>
          <w:color w:val="0000FF"/>
          <w:spacing w:val="-3"/>
        </w:rPr>
        <w:t xml:space="preserve"> </w:t>
      </w:r>
      <w:r>
        <w:t>states</w:t>
      </w:r>
      <w:r>
        <w:rPr>
          <w:spacing w:val="-3"/>
        </w:rPr>
        <w:t xml:space="preserve"> </w:t>
      </w:r>
      <w:r>
        <w:t>that</w:t>
      </w:r>
      <w:r>
        <w:rPr>
          <w:spacing w:val="-4"/>
        </w:rPr>
        <w:t xml:space="preserve"> </w:t>
      </w:r>
      <w:r>
        <w:t>“harm”</w:t>
      </w:r>
      <w:r>
        <w:rPr>
          <w:spacing w:val="-3"/>
        </w:rPr>
        <w:t xml:space="preserve"> </w:t>
      </w:r>
      <w:r>
        <w:t>includes</w:t>
      </w:r>
      <w:r>
        <w:rPr>
          <w:spacing w:val="-4"/>
        </w:rPr>
        <w:t xml:space="preserve"> </w:t>
      </w:r>
      <w:r>
        <w:t>all</w:t>
      </w:r>
      <w:r>
        <w:rPr>
          <w:spacing w:val="-3"/>
        </w:rPr>
        <w:t xml:space="preserve"> </w:t>
      </w:r>
      <w:r>
        <w:t>harmful</w:t>
      </w:r>
      <w:r>
        <w:rPr>
          <w:spacing w:val="-3"/>
        </w:rPr>
        <w:t xml:space="preserve"> </w:t>
      </w:r>
      <w:r>
        <w:t>conduct</w:t>
      </w:r>
      <w:r>
        <w:rPr>
          <w:spacing w:val="-3"/>
        </w:rPr>
        <w:t xml:space="preserve"> </w:t>
      </w:r>
      <w:r>
        <w:t>and</w:t>
      </w:r>
      <w:r>
        <w:rPr>
          <w:spacing w:val="-3"/>
        </w:rPr>
        <w:t xml:space="preserve"> </w:t>
      </w:r>
      <w:r>
        <w:t>gives</w:t>
      </w:r>
      <w:r>
        <w:rPr>
          <w:spacing w:val="-3"/>
        </w:rPr>
        <w:t xml:space="preserve"> </w:t>
      </w:r>
      <w:r>
        <w:t>the</w:t>
      </w:r>
      <w:r>
        <w:rPr>
          <w:spacing w:val="-4"/>
        </w:rPr>
        <w:t xml:space="preserve"> </w:t>
      </w:r>
      <w:r>
        <w:t xml:space="preserve">following </w:t>
      </w:r>
      <w:r>
        <w:rPr>
          <w:spacing w:val="-2"/>
        </w:rPr>
        <w:t>examples:</w:t>
      </w:r>
    </w:p>
    <w:p w:rsidR="00BB5B9A" w:rsidRDefault="00BB5B9A" w:rsidP="00BB5B9A">
      <w:pPr>
        <w:pStyle w:val="BodyText"/>
        <w:spacing w:before="38"/>
      </w:pPr>
    </w:p>
    <w:p w:rsidR="00BB5B9A" w:rsidRDefault="00BB5B9A" w:rsidP="00BB5B9A">
      <w:pPr>
        <w:pStyle w:val="ListParagraph"/>
        <w:numPr>
          <w:ilvl w:val="0"/>
          <w:numId w:val="1"/>
        </w:numPr>
        <w:tabs>
          <w:tab w:val="left" w:pos="2058"/>
        </w:tabs>
        <w:spacing w:line="293" w:lineRule="exact"/>
        <w:ind w:left="2058" w:hanging="360"/>
        <w:rPr>
          <w:sz w:val="24"/>
        </w:rPr>
      </w:pPr>
      <w:r>
        <w:rPr>
          <w:sz w:val="24"/>
        </w:rPr>
        <w:t>conduct</w:t>
      </w:r>
      <w:r>
        <w:rPr>
          <w:spacing w:val="-3"/>
          <w:sz w:val="24"/>
        </w:rPr>
        <w:t xml:space="preserve"> </w:t>
      </w:r>
      <w:r>
        <w:rPr>
          <w:sz w:val="24"/>
        </w:rPr>
        <w:t>which</w:t>
      </w:r>
      <w:r>
        <w:rPr>
          <w:spacing w:val="-3"/>
          <w:sz w:val="24"/>
        </w:rPr>
        <w:t xml:space="preserve"> </w:t>
      </w:r>
      <w:r>
        <w:rPr>
          <w:sz w:val="24"/>
        </w:rPr>
        <w:t>causes</w:t>
      </w:r>
      <w:r>
        <w:rPr>
          <w:spacing w:val="-3"/>
          <w:sz w:val="24"/>
        </w:rPr>
        <w:t xml:space="preserve"> </w:t>
      </w:r>
      <w:r>
        <w:rPr>
          <w:sz w:val="24"/>
        </w:rPr>
        <w:t>physical</w:t>
      </w:r>
      <w:r>
        <w:rPr>
          <w:spacing w:val="-3"/>
          <w:sz w:val="24"/>
        </w:rPr>
        <w:t xml:space="preserve"> </w:t>
      </w:r>
      <w:r>
        <w:rPr>
          <w:spacing w:val="-2"/>
          <w:sz w:val="24"/>
        </w:rPr>
        <w:t>harm;</w:t>
      </w:r>
    </w:p>
    <w:p w:rsidR="00BB5B9A" w:rsidRDefault="00BB5B9A" w:rsidP="00BB5B9A">
      <w:pPr>
        <w:pStyle w:val="ListParagraph"/>
        <w:numPr>
          <w:ilvl w:val="0"/>
          <w:numId w:val="1"/>
        </w:numPr>
        <w:tabs>
          <w:tab w:val="left" w:pos="2058"/>
        </w:tabs>
        <w:spacing w:before="2" w:line="237" w:lineRule="auto"/>
        <w:ind w:left="2058" w:right="612"/>
        <w:rPr>
          <w:sz w:val="24"/>
        </w:rPr>
      </w:pPr>
      <w:r>
        <w:rPr>
          <w:sz w:val="24"/>
        </w:rPr>
        <w:t>conduct</w:t>
      </w:r>
      <w:r>
        <w:rPr>
          <w:spacing w:val="-4"/>
          <w:sz w:val="24"/>
        </w:rPr>
        <w:t xml:space="preserve"> </w:t>
      </w:r>
      <w:r>
        <w:rPr>
          <w:sz w:val="24"/>
        </w:rPr>
        <w:t>which</w:t>
      </w:r>
      <w:r>
        <w:rPr>
          <w:spacing w:val="-4"/>
          <w:sz w:val="24"/>
        </w:rPr>
        <w:t xml:space="preserve"> </w:t>
      </w:r>
      <w:r>
        <w:rPr>
          <w:sz w:val="24"/>
        </w:rPr>
        <w:t>causes</w:t>
      </w:r>
      <w:r>
        <w:rPr>
          <w:spacing w:val="-4"/>
          <w:sz w:val="24"/>
        </w:rPr>
        <w:t xml:space="preserve"> </w:t>
      </w:r>
      <w:r>
        <w:rPr>
          <w:sz w:val="24"/>
        </w:rPr>
        <w:t>psychological</w:t>
      </w:r>
      <w:r>
        <w:rPr>
          <w:spacing w:val="-4"/>
          <w:sz w:val="24"/>
        </w:rPr>
        <w:t xml:space="preserve"> </w:t>
      </w:r>
      <w:r>
        <w:rPr>
          <w:sz w:val="24"/>
        </w:rPr>
        <w:t>harm</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by</w:t>
      </w:r>
      <w:r>
        <w:rPr>
          <w:spacing w:val="-4"/>
          <w:sz w:val="24"/>
        </w:rPr>
        <w:t xml:space="preserve"> </w:t>
      </w:r>
      <w:r>
        <w:rPr>
          <w:sz w:val="24"/>
        </w:rPr>
        <w:t>causing</w:t>
      </w:r>
      <w:r>
        <w:rPr>
          <w:spacing w:val="-4"/>
          <w:sz w:val="24"/>
        </w:rPr>
        <w:t xml:space="preserve"> </w:t>
      </w:r>
      <w:r>
        <w:rPr>
          <w:sz w:val="24"/>
        </w:rPr>
        <w:t>fear, alarm or distress);</w:t>
      </w:r>
    </w:p>
    <w:p w:rsidR="00BB5B9A" w:rsidRDefault="00BB5B9A" w:rsidP="00BB5B9A">
      <w:pPr>
        <w:pStyle w:val="ListParagraph"/>
        <w:numPr>
          <w:ilvl w:val="0"/>
          <w:numId w:val="1"/>
        </w:numPr>
        <w:tabs>
          <w:tab w:val="left" w:pos="2058"/>
        </w:tabs>
        <w:spacing w:before="1"/>
        <w:ind w:left="2058" w:right="679"/>
        <w:rPr>
          <w:sz w:val="24"/>
        </w:rPr>
      </w:pPr>
      <w:r>
        <w:rPr>
          <w:sz w:val="24"/>
        </w:rPr>
        <w:t>unlawful conduct which appropriates or adversely affects property, rights</w:t>
      </w:r>
      <w:r>
        <w:rPr>
          <w:spacing w:val="-4"/>
          <w:sz w:val="24"/>
        </w:rPr>
        <w:t xml:space="preserve"> </w:t>
      </w:r>
      <w:r>
        <w:rPr>
          <w:sz w:val="24"/>
        </w:rPr>
        <w:t>or</w:t>
      </w:r>
      <w:r>
        <w:rPr>
          <w:spacing w:val="-4"/>
          <w:sz w:val="24"/>
        </w:rPr>
        <w:t xml:space="preserve"> </w:t>
      </w:r>
      <w:r>
        <w:rPr>
          <w:sz w:val="24"/>
        </w:rPr>
        <w:t>interests</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theft,</w:t>
      </w:r>
      <w:r>
        <w:rPr>
          <w:spacing w:val="-5"/>
          <w:sz w:val="24"/>
        </w:rPr>
        <w:t xml:space="preserve"> </w:t>
      </w:r>
      <w:r>
        <w:rPr>
          <w:sz w:val="24"/>
        </w:rPr>
        <w:t>fraud,</w:t>
      </w:r>
      <w:r>
        <w:rPr>
          <w:spacing w:val="-4"/>
          <w:sz w:val="24"/>
        </w:rPr>
        <w:t xml:space="preserve"> </w:t>
      </w:r>
      <w:r>
        <w:rPr>
          <w:sz w:val="24"/>
        </w:rPr>
        <w:t>embezzlement</w:t>
      </w:r>
      <w:r>
        <w:rPr>
          <w:spacing w:val="-5"/>
          <w:sz w:val="24"/>
        </w:rPr>
        <w:t xml:space="preserve"> </w:t>
      </w:r>
      <w:r>
        <w:rPr>
          <w:sz w:val="24"/>
        </w:rPr>
        <w:t>or</w:t>
      </w:r>
      <w:r>
        <w:rPr>
          <w:spacing w:val="-4"/>
          <w:sz w:val="24"/>
        </w:rPr>
        <w:t xml:space="preserve"> </w:t>
      </w:r>
      <w:r>
        <w:rPr>
          <w:sz w:val="24"/>
        </w:rPr>
        <w:t>extortion);</w:t>
      </w:r>
    </w:p>
    <w:p w:rsidR="00BB5B9A" w:rsidRDefault="00BB5B9A" w:rsidP="00BB5B9A">
      <w:pPr>
        <w:pStyle w:val="ListParagraph"/>
        <w:numPr>
          <w:ilvl w:val="0"/>
          <w:numId w:val="1"/>
        </w:numPr>
        <w:tabs>
          <w:tab w:val="left" w:pos="2058"/>
        </w:tabs>
        <w:spacing w:line="292" w:lineRule="exact"/>
        <w:ind w:left="2058" w:hanging="360"/>
        <w:rPr>
          <w:sz w:val="24"/>
        </w:rPr>
      </w:pPr>
      <w:proofErr w:type="gramStart"/>
      <w:r>
        <w:rPr>
          <w:sz w:val="24"/>
        </w:rPr>
        <w:t>conduct</w:t>
      </w:r>
      <w:proofErr w:type="gramEnd"/>
      <w:r>
        <w:rPr>
          <w:spacing w:val="-4"/>
          <w:sz w:val="24"/>
        </w:rPr>
        <w:t xml:space="preserve"> </w:t>
      </w:r>
      <w:r>
        <w:rPr>
          <w:sz w:val="24"/>
        </w:rPr>
        <w:t>which</w:t>
      </w:r>
      <w:r>
        <w:rPr>
          <w:spacing w:val="-2"/>
          <w:sz w:val="24"/>
        </w:rPr>
        <w:t xml:space="preserve"> </w:t>
      </w:r>
      <w:r>
        <w:rPr>
          <w:sz w:val="24"/>
        </w:rPr>
        <w:t>causes</w:t>
      </w:r>
      <w:r>
        <w:rPr>
          <w:spacing w:val="-2"/>
          <w:sz w:val="24"/>
        </w:rPr>
        <w:t xml:space="preserve"> </w:t>
      </w:r>
      <w:r>
        <w:rPr>
          <w:sz w:val="24"/>
        </w:rPr>
        <w:t>self-</w:t>
      </w:r>
      <w:r>
        <w:rPr>
          <w:spacing w:val="-2"/>
          <w:sz w:val="24"/>
        </w:rPr>
        <w:t>harm.</w:t>
      </w:r>
    </w:p>
    <w:p w:rsidR="00BB5B9A" w:rsidRDefault="00BB5B9A" w:rsidP="00BB5B9A">
      <w:pPr>
        <w:pStyle w:val="BodyText"/>
        <w:spacing w:before="274"/>
        <w:ind w:left="1057" w:right="694"/>
      </w:pPr>
      <w:r>
        <w:rPr>
          <w:b/>
        </w:rPr>
        <w:t>The</w:t>
      </w:r>
      <w:r>
        <w:rPr>
          <w:b/>
          <w:spacing w:val="-3"/>
        </w:rPr>
        <w:t xml:space="preserve"> </w:t>
      </w:r>
      <w:r>
        <w:rPr>
          <w:b/>
        </w:rPr>
        <w:t>list</w:t>
      </w:r>
      <w:r>
        <w:rPr>
          <w:b/>
          <w:spacing w:val="-3"/>
        </w:rPr>
        <w:t xml:space="preserve"> </w:t>
      </w:r>
      <w:r>
        <w:rPr>
          <w:b/>
        </w:rPr>
        <w:t>is</w:t>
      </w:r>
      <w:r>
        <w:rPr>
          <w:b/>
          <w:spacing w:val="-3"/>
        </w:rPr>
        <w:t xml:space="preserve"> </w:t>
      </w:r>
      <w:r>
        <w:rPr>
          <w:b/>
        </w:rPr>
        <w:t>not</w:t>
      </w:r>
      <w:r>
        <w:rPr>
          <w:b/>
          <w:spacing w:val="-3"/>
        </w:rPr>
        <w:t xml:space="preserve"> </w:t>
      </w:r>
      <w:r>
        <w:rPr>
          <w:b/>
        </w:rPr>
        <w:t>exhaustive</w:t>
      </w:r>
      <w:r>
        <w:rPr>
          <w:b/>
          <w:spacing w:val="-3"/>
        </w:rPr>
        <w:t xml:space="preserve"> </w:t>
      </w:r>
      <w:r>
        <w:t>and</w:t>
      </w:r>
      <w:r>
        <w:rPr>
          <w:spacing w:val="-3"/>
        </w:rPr>
        <w:t xml:space="preserve"> </w:t>
      </w:r>
      <w:r>
        <w:t>no</w:t>
      </w:r>
      <w:r>
        <w:rPr>
          <w:spacing w:val="-3"/>
        </w:rPr>
        <w:t xml:space="preserve"> </w:t>
      </w:r>
      <w:r>
        <w:t>category</w:t>
      </w:r>
      <w:r>
        <w:rPr>
          <w:spacing w:val="-4"/>
        </w:rPr>
        <w:t xml:space="preserve"> </w:t>
      </w:r>
      <w:r>
        <w:t>of</w:t>
      </w:r>
      <w:r>
        <w:rPr>
          <w:spacing w:val="-4"/>
        </w:rPr>
        <w:t xml:space="preserve"> </w:t>
      </w:r>
      <w:r>
        <w:t>harm</w:t>
      </w:r>
      <w:r>
        <w:rPr>
          <w:spacing w:val="-3"/>
        </w:rPr>
        <w:t xml:space="preserve"> </w:t>
      </w:r>
      <w:r>
        <w:t>is</w:t>
      </w:r>
      <w:r>
        <w:rPr>
          <w:spacing w:val="-3"/>
        </w:rPr>
        <w:t xml:space="preserve"> </w:t>
      </w:r>
      <w:r>
        <w:t>excluded</w:t>
      </w:r>
      <w:r>
        <w:rPr>
          <w:spacing w:val="-3"/>
        </w:rPr>
        <w:t xml:space="preserve"> </w:t>
      </w:r>
      <w:r>
        <w:t>simply</w:t>
      </w:r>
      <w:r>
        <w:rPr>
          <w:spacing w:val="-3"/>
        </w:rPr>
        <w:t xml:space="preserve"> </w:t>
      </w:r>
      <w:r>
        <w:t xml:space="preserve">because it is not explicitly listed. In general terms, </w:t>
      </w:r>
      <w:proofErr w:type="spellStart"/>
      <w:r>
        <w:t>behaviours</w:t>
      </w:r>
      <w:proofErr w:type="spellEnd"/>
      <w:r>
        <w:t xml:space="preserve"> that constitute harm to a person can be physical, sexual, psychological, financial, or a combination of these. The harm can be accidental or intentional, as a result of self-neglect, neglect</w:t>
      </w:r>
      <w:r>
        <w:rPr>
          <w:spacing w:val="-3"/>
        </w:rPr>
        <w:t xml:space="preserve"> </w:t>
      </w:r>
      <w:r>
        <w:t>by</w:t>
      </w:r>
      <w:r>
        <w:rPr>
          <w:spacing w:val="-3"/>
        </w:rPr>
        <w:t xml:space="preserve"> </w:t>
      </w:r>
      <w:r>
        <w:t>a</w:t>
      </w:r>
      <w:r>
        <w:rPr>
          <w:spacing w:val="-3"/>
        </w:rPr>
        <w:t xml:space="preserve"> </w:t>
      </w:r>
      <w:proofErr w:type="spellStart"/>
      <w:r>
        <w:t>carer</w:t>
      </w:r>
      <w:proofErr w:type="spellEnd"/>
      <w:r>
        <w:rPr>
          <w:spacing w:val="-4"/>
        </w:rPr>
        <w:t xml:space="preserve"> </w:t>
      </w:r>
      <w:r>
        <w:t>or</w:t>
      </w:r>
      <w:r>
        <w:rPr>
          <w:spacing w:val="-3"/>
        </w:rPr>
        <w:t xml:space="preserve"> </w:t>
      </w:r>
      <w:r>
        <w:t>caused</w:t>
      </w:r>
      <w:r>
        <w:rPr>
          <w:spacing w:val="-3"/>
        </w:rPr>
        <w:t xml:space="preserve"> </w:t>
      </w:r>
      <w:r>
        <w:t>by</w:t>
      </w:r>
      <w:r>
        <w:rPr>
          <w:spacing w:val="-3"/>
        </w:rPr>
        <w:t xml:space="preserve"> </w:t>
      </w:r>
      <w:r>
        <w:t>self-harm</w:t>
      </w:r>
      <w:r>
        <w:rPr>
          <w:spacing w:val="-3"/>
        </w:rPr>
        <w:t xml:space="preserve"> </w:t>
      </w:r>
      <w:r>
        <w:t>and/or</w:t>
      </w:r>
      <w:r>
        <w:rPr>
          <w:spacing w:val="-3"/>
        </w:rPr>
        <w:t xml:space="preserve"> </w:t>
      </w:r>
      <w:r>
        <w:t>attempted</w:t>
      </w:r>
      <w:r>
        <w:rPr>
          <w:spacing w:val="-3"/>
        </w:rPr>
        <w:t xml:space="preserve"> </w:t>
      </w:r>
      <w:r>
        <w:t>suicide.</w:t>
      </w:r>
      <w:r>
        <w:rPr>
          <w:spacing w:val="-5"/>
        </w:rPr>
        <w:t xml:space="preserve"> </w:t>
      </w:r>
      <w:r>
        <w:t>Other</w:t>
      </w:r>
      <w:r>
        <w:rPr>
          <w:spacing w:val="-3"/>
        </w:rPr>
        <w:t xml:space="preserve"> </w:t>
      </w:r>
      <w:r>
        <w:t>forms of harm can include domestic abuse, gender-based violence, forced marriage, female genital mutilation (FGM), human trafficking, stalking, scam trading and hate crime. Some such cases will result in adults being identified as at risk of harm under the terms of the Act, but this will not always be the case.</w:t>
      </w:r>
    </w:p>
    <w:p w:rsidR="00BB5B9A" w:rsidRDefault="00BB5B9A" w:rsidP="00BB5B9A">
      <w:pPr>
        <w:pStyle w:val="BodyText"/>
        <w:spacing w:before="239"/>
      </w:pPr>
    </w:p>
    <w:p w:rsidR="00BB5B9A" w:rsidRDefault="00BB5B9A" w:rsidP="00BB5B9A">
      <w:pPr>
        <w:pStyle w:val="Heading1"/>
      </w:pPr>
      <w:bookmarkStart w:id="0" w:name="_bookmark13"/>
      <w:bookmarkEnd w:id="0"/>
      <w:r>
        <w:t>Types</w:t>
      </w:r>
      <w:r>
        <w:rPr>
          <w:spacing w:val="-2"/>
        </w:rPr>
        <w:t xml:space="preserve"> </w:t>
      </w:r>
      <w:r>
        <w:t>of</w:t>
      </w:r>
      <w:r>
        <w:rPr>
          <w:spacing w:val="-2"/>
        </w:rPr>
        <w:t xml:space="preserve"> </w:t>
      </w:r>
      <w:r>
        <w:rPr>
          <w:spacing w:val="-4"/>
        </w:rPr>
        <w:t>Harm</w:t>
      </w:r>
    </w:p>
    <w:p w:rsidR="00BB5B9A" w:rsidRDefault="00BB5B9A" w:rsidP="00BB5B9A">
      <w:pPr>
        <w:pStyle w:val="BodyText"/>
        <w:spacing w:before="1"/>
        <w:rPr>
          <w:b/>
        </w:rPr>
      </w:pPr>
    </w:p>
    <w:p w:rsidR="00BB5B9A" w:rsidRDefault="00BB5B9A" w:rsidP="00BB5B9A">
      <w:pPr>
        <w:pStyle w:val="BodyText"/>
        <w:ind w:left="1057" w:right="639"/>
      </w:pPr>
      <w:r>
        <w:t xml:space="preserve">The Act defines harm as “all harmful conduct”. The </w:t>
      </w:r>
      <w:hyperlink r:id="rId10">
        <w:r>
          <w:rPr>
            <w:color w:val="0000FF"/>
            <w:u w:val="single" w:color="0000FF"/>
          </w:rPr>
          <w:t>Social Care Institute for</w:t>
        </w:r>
      </w:hyperlink>
      <w:r>
        <w:rPr>
          <w:color w:val="0000FF"/>
        </w:rPr>
        <w:t xml:space="preserve"> </w:t>
      </w:r>
      <w:hyperlink r:id="rId11">
        <w:r>
          <w:rPr>
            <w:color w:val="0000FF"/>
            <w:u w:val="single" w:color="0000FF"/>
          </w:rPr>
          <w:t>Excellence</w:t>
        </w:r>
      </w:hyperlink>
      <w:r>
        <w:rPr>
          <w:color w:val="0000FF"/>
          <w:spacing w:val="40"/>
          <w:u w:val="single" w:color="0000FF"/>
        </w:rPr>
        <w:t xml:space="preserve"> </w:t>
      </w:r>
      <w:r>
        <w:rPr>
          <w:color w:val="0000FF"/>
          <w:u w:val="single" w:color="0000FF"/>
        </w:rPr>
        <w:t>(“SCIE”)</w:t>
      </w:r>
      <w:r>
        <w:rPr>
          <w:color w:val="0000FF"/>
          <w:spacing w:val="-5"/>
          <w:u w:val="single" w:color="0000FF"/>
        </w:rPr>
        <w:t xml:space="preserve"> </w:t>
      </w:r>
      <w:r>
        <w:t>has</w:t>
      </w:r>
      <w:r>
        <w:rPr>
          <w:spacing w:val="-4"/>
        </w:rPr>
        <w:t xml:space="preserve"> </w:t>
      </w:r>
      <w:r>
        <w:t>a</w:t>
      </w:r>
      <w:r>
        <w:rPr>
          <w:spacing w:val="-5"/>
        </w:rPr>
        <w:t xml:space="preserve"> </w:t>
      </w:r>
      <w:r>
        <w:t>comprehensive</w:t>
      </w:r>
      <w:r>
        <w:rPr>
          <w:spacing w:val="-4"/>
        </w:rPr>
        <w:t xml:space="preserve"> </w:t>
      </w:r>
      <w:r>
        <w:t>downloadable</w:t>
      </w:r>
      <w:r>
        <w:rPr>
          <w:spacing w:val="-4"/>
        </w:rPr>
        <w:t xml:space="preserve"> </w:t>
      </w:r>
      <w:r>
        <w:t>resource</w:t>
      </w:r>
      <w:r>
        <w:rPr>
          <w:spacing w:val="-4"/>
        </w:rPr>
        <w:t xml:space="preserve"> </w:t>
      </w:r>
      <w:r>
        <w:t xml:space="preserve">illustrating types of harm in detail: </w:t>
      </w:r>
      <w:hyperlink r:id="rId12">
        <w:r>
          <w:rPr>
            <w:color w:val="0462C1"/>
            <w:u w:val="single" w:color="0462C1"/>
          </w:rPr>
          <w:t>Types of abuse: Safeguarding adults</w:t>
        </w:r>
      </w:hyperlink>
      <w:r>
        <w:t>.</w:t>
      </w:r>
    </w:p>
    <w:p w:rsidR="00BB5B9A" w:rsidRDefault="00BB5B9A" w:rsidP="00BB5B9A">
      <w:pPr>
        <w:sectPr w:rsidR="00BB5B9A">
          <w:headerReference w:type="even" r:id="rId13"/>
          <w:headerReference w:type="default" r:id="rId14"/>
          <w:footerReference w:type="even" r:id="rId15"/>
          <w:footerReference w:type="default" r:id="rId16"/>
          <w:headerReference w:type="first" r:id="rId17"/>
          <w:footerReference w:type="first" r:id="rId18"/>
          <w:pgSz w:w="11910" w:h="16840"/>
          <w:pgMar w:top="1160" w:right="860" w:bottom="1240" w:left="740" w:header="716" w:footer="959" w:gutter="0"/>
          <w:cols w:space="720"/>
        </w:sectPr>
      </w:pPr>
    </w:p>
    <w:p w:rsidR="00BB5B9A" w:rsidRDefault="00BB5B9A" w:rsidP="00BB5B9A">
      <w:pPr>
        <w:pStyle w:val="BodyText"/>
        <w:spacing w:before="90"/>
        <w:ind w:left="1057" w:right="589"/>
      </w:pPr>
      <w:r>
        <w:lastRenderedPageBreak/>
        <w:t>Evidence of any one indicator should not be taken on its own as proof that abuse is occurring. Conversely, practitioners must remember that individuals may well be</w:t>
      </w:r>
      <w:r>
        <w:rPr>
          <w:spacing w:val="-2"/>
        </w:rPr>
        <w:t xml:space="preserve"> </w:t>
      </w:r>
      <w:r>
        <w:t>subject</w:t>
      </w:r>
      <w:r>
        <w:rPr>
          <w:spacing w:val="-2"/>
        </w:rPr>
        <w:t xml:space="preserve"> </w:t>
      </w:r>
      <w:r>
        <w:t>to</w:t>
      </w:r>
      <w:r>
        <w:rPr>
          <w:spacing w:val="-4"/>
        </w:rPr>
        <w:t xml:space="preserve"> </w:t>
      </w:r>
      <w:r>
        <w:t>more</w:t>
      </w:r>
      <w:r>
        <w:rPr>
          <w:spacing w:val="-2"/>
        </w:rPr>
        <w:t xml:space="preserve"> </w:t>
      </w:r>
      <w:r>
        <w:t>than</w:t>
      </w:r>
      <w:r>
        <w:rPr>
          <w:spacing w:val="-2"/>
        </w:rPr>
        <w:t xml:space="preserve"> </w:t>
      </w:r>
      <w:r>
        <w:t>one</w:t>
      </w:r>
      <w:r>
        <w:rPr>
          <w:spacing w:val="-2"/>
        </w:rPr>
        <w:t xml:space="preserve"> </w:t>
      </w:r>
      <w:r>
        <w:t>type</w:t>
      </w:r>
      <w:r>
        <w:rPr>
          <w:spacing w:val="-2"/>
        </w:rPr>
        <w:t xml:space="preserve"> </w:t>
      </w:r>
      <w:r>
        <w:t>of</w:t>
      </w:r>
      <w:r>
        <w:rPr>
          <w:spacing w:val="-2"/>
        </w:rPr>
        <w:t xml:space="preserve"> </w:t>
      </w:r>
      <w:r>
        <w:t>abuse</w:t>
      </w:r>
      <w:r>
        <w:rPr>
          <w:spacing w:val="-2"/>
        </w:rPr>
        <w:t xml:space="preserve"> </w:t>
      </w:r>
      <w:r>
        <w:t>at</w:t>
      </w:r>
      <w:r>
        <w:rPr>
          <w:spacing w:val="-2"/>
        </w:rPr>
        <w:t xml:space="preserve"> </w:t>
      </w:r>
      <w:r>
        <w:t>a</w:t>
      </w:r>
      <w:r>
        <w:rPr>
          <w:spacing w:val="-3"/>
        </w:rPr>
        <w:t xml:space="preserve"> </w:t>
      </w:r>
      <w:r>
        <w:t>time,</w:t>
      </w:r>
      <w:r>
        <w:rPr>
          <w:spacing w:val="-3"/>
        </w:rPr>
        <w:t xml:space="preserve"> </w:t>
      </w:r>
      <w:r>
        <w:t>and</w:t>
      </w:r>
      <w:r>
        <w:rPr>
          <w:spacing w:val="-2"/>
        </w:rPr>
        <w:t xml:space="preserve"> </w:t>
      </w:r>
      <w:r>
        <w:t>the</w:t>
      </w:r>
      <w:r>
        <w:rPr>
          <w:spacing w:val="-2"/>
        </w:rPr>
        <w:t xml:space="preserve"> </w:t>
      </w:r>
      <w:r>
        <w:t>way</w:t>
      </w:r>
      <w:r>
        <w:rPr>
          <w:spacing w:val="-3"/>
        </w:rPr>
        <w:t xml:space="preserve"> </w:t>
      </w:r>
      <w:r>
        <w:t>that</w:t>
      </w:r>
      <w:r>
        <w:rPr>
          <w:spacing w:val="-2"/>
        </w:rPr>
        <w:t xml:space="preserve"> </w:t>
      </w:r>
      <w:r>
        <w:t>these</w:t>
      </w:r>
      <w:r>
        <w:rPr>
          <w:spacing w:val="-2"/>
        </w:rPr>
        <w:t xml:space="preserve"> </w:t>
      </w:r>
      <w:r>
        <w:t>types of abuse interact and compound should be taken into account. With this in mind, practitioners should consider making further assessments, consider other associated factors, and ascertain which referral(s) may be the most appropriate for that individual.</w:t>
      </w:r>
    </w:p>
    <w:p w:rsidR="00BB5B9A" w:rsidRDefault="00BB5B9A" w:rsidP="00BB5B9A">
      <w:pPr>
        <w:pStyle w:val="BodyText"/>
        <w:spacing w:before="276"/>
        <w:ind w:left="1057" w:right="639"/>
      </w:pPr>
      <w:r>
        <w:t>The</w:t>
      </w:r>
      <w:r>
        <w:rPr>
          <w:spacing w:val="-2"/>
        </w:rPr>
        <w:t xml:space="preserve"> </w:t>
      </w:r>
      <w:r>
        <w:t>SCIE</w:t>
      </w:r>
      <w:r>
        <w:rPr>
          <w:spacing w:val="-3"/>
        </w:rPr>
        <w:t xml:space="preserve"> </w:t>
      </w:r>
      <w:r>
        <w:t>identify</w:t>
      </w:r>
      <w:r>
        <w:rPr>
          <w:spacing w:val="-4"/>
        </w:rPr>
        <w:t xml:space="preserve"> </w:t>
      </w:r>
      <w:r>
        <w:t>some</w:t>
      </w:r>
      <w:r>
        <w:rPr>
          <w:spacing w:val="-2"/>
        </w:rPr>
        <w:t xml:space="preserve"> </w:t>
      </w:r>
      <w:r>
        <w:t>commonly</w:t>
      </w:r>
      <w:r>
        <w:rPr>
          <w:spacing w:val="-2"/>
        </w:rPr>
        <w:t xml:space="preserve"> </w:t>
      </w:r>
      <w:proofErr w:type="spellStart"/>
      <w:r>
        <w:t>recognised</w:t>
      </w:r>
      <w:proofErr w:type="spellEnd"/>
      <w:r>
        <w:rPr>
          <w:spacing w:val="-2"/>
        </w:rPr>
        <w:t xml:space="preserve"> </w:t>
      </w:r>
      <w:r>
        <w:t>types</w:t>
      </w:r>
      <w:r>
        <w:rPr>
          <w:spacing w:val="-2"/>
        </w:rPr>
        <w:t xml:space="preserve"> </w:t>
      </w:r>
      <w:r>
        <w:t>of</w:t>
      </w:r>
      <w:r>
        <w:rPr>
          <w:spacing w:val="-2"/>
        </w:rPr>
        <w:t xml:space="preserve"> </w:t>
      </w:r>
      <w:r>
        <w:t>‘harm’,</w:t>
      </w:r>
      <w:r>
        <w:rPr>
          <w:spacing w:val="-4"/>
        </w:rPr>
        <w:t xml:space="preserve"> </w:t>
      </w:r>
      <w:r>
        <w:t>but</w:t>
      </w:r>
      <w:r>
        <w:rPr>
          <w:spacing w:val="-3"/>
        </w:rPr>
        <w:t xml:space="preserve"> </w:t>
      </w:r>
      <w:r>
        <w:t>note</w:t>
      </w:r>
      <w:r>
        <w:rPr>
          <w:spacing w:val="-2"/>
        </w:rPr>
        <w:t xml:space="preserve"> </w:t>
      </w:r>
      <w:r>
        <w:t>this</w:t>
      </w:r>
      <w:r>
        <w:rPr>
          <w:spacing w:val="-2"/>
        </w:rPr>
        <w:t xml:space="preserve"> </w:t>
      </w:r>
      <w:r>
        <w:t>list</w:t>
      </w:r>
      <w:r>
        <w:rPr>
          <w:spacing w:val="-3"/>
        </w:rPr>
        <w:t xml:space="preserve"> </w:t>
      </w:r>
      <w:r>
        <w:t xml:space="preserve">is not exhaustive. More information is provided </w:t>
      </w:r>
      <w:proofErr w:type="gramStart"/>
      <w:r>
        <w:t>on each harm</w:t>
      </w:r>
      <w:proofErr w:type="gramEnd"/>
      <w:r>
        <w:t>, via the link:</w:t>
      </w:r>
    </w:p>
    <w:p w:rsidR="00BB5B9A" w:rsidRDefault="00BB5B9A" w:rsidP="00BB5B9A">
      <w:pPr>
        <w:pStyle w:val="BodyText"/>
      </w:pPr>
    </w:p>
    <w:p w:rsidR="00BB5B9A" w:rsidRDefault="00BB5B9A" w:rsidP="00BB5B9A">
      <w:pPr>
        <w:pStyle w:val="BodyText"/>
        <w:ind w:left="1398" w:right="7221"/>
      </w:pPr>
      <w:hyperlink r:id="rId19" w:anchor="physical">
        <w:r>
          <w:rPr>
            <w:color w:val="00529F"/>
            <w:u w:val="single" w:color="00529F"/>
          </w:rPr>
          <w:t>Physical</w:t>
        </w:r>
        <w:r>
          <w:rPr>
            <w:color w:val="00529F"/>
            <w:spacing w:val="-17"/>
            <w:u w:val="single" w:color="00529F"/>
          </w:rPr>
          <w:t xml:space="preserve"> </w:t>
        </w:r>
        <w:r>
          <w:rPr>
            <w:color w:val="00529F"/>
            <w:u w:val="single" w:color="00529F"/>
          </w:rPr>
          <w:t>harm</w:t>
        </w:r>
      </w:hyperlink>
      <w:r>
        <w:rPr>
          <w:color w:val="00529F"/>
        </w:rPr>
        <w:t xml:space="preserve"> </w:t>
      </w:r>
      <w:hyperlink r:id="rId20" w:anchor="sexual">
        <w:r>
          <w:rPr>
            <w:color w:val="00529F"/>
            <w:u w:val="single" w:color="00529F"/>
          </w:rPr>
          <w:t>Sexual harm</w:t>
        </w:r>
      </w:hyperlink>
    </w:p>
    <w:p w:rsidR="00BB5B9A" w:rsidRDefault="00BB5B9A" w:rsidP="00BB5B9A">
      <w:pPr>
        <w:pStyle w:val="BodyText"/>
        <w:ind w:left="1398" w:right="5343"/>
      </w:pPr>
      <w:hyperlink r:id="rId21" w:anchor="psychological">
        <w:r>
          <w:rPr>
            <w:color w:val="00529F"/>
            <w:u w:val="single" w:color="00529F"/>
          </w:rPr>
          <w:t>Psychological</w:t>
        </w:r>
        <w:r>
          <w:rPr>
            <w:color w:val="00529F"/>
            <w:spacing w:val="-11"/>
            <w:u w:val="single" w:color="00529F"/>
          </w:rPr>
          <w:t xml:space="preserve"> </w:t>
        </w:r>
        <w:r>
          <w:rPr>
            <w:color w:val="00529F"/>
            <w:u w:val="single" w:color="00529F"/>
          </w:rPr>
          <w:t>or</w:t>
        </w:r>
        <w:r>
          <w:rPr>
            <w:color w:val="00529F"/>
            <w:spacing w:val="-12"/>
            <w:u w:val="single" w:color="00529F"/>
          </w:rPr>
          <w:t xml:space="preserve"> </w:t>
        </w:r>
        <w:r>
          <w:rPr>
            <w:color w:val="00529F"/>
            <w:u w:val="single" w:color="00529F"/>
          </w:rPr>
          <w:t>emotional</w:t>
        </w:r>
        <w:r>
          <w:rPr>
            <w:color w:val="00529F"/>
            <w:spacing w:val="-11"/>
            <w:u w:val="single" w:color="00529F"/>
          </w:rPr>
          <w:t xml:space="preserve"> </w:t>
        </w:r>
        <w:r>
          <w:rPr>
            <w:color w:val="00529F"/>
            <w:u w:val="single" w:color="00529F"/>
          </w:rPr>
          <w:t>harm</w:t>
        </w:r>
      </w:hyperlink>
      <w:r>
        <w:rPr>
          <w:color w:val="00529F"/>
        </w:rPr>
        <w:t xml:space="preserve"> </w:t>
      </w:r>
      <w:hyperlink r:id="rId22" w:anchor="financial">
        <w:r>
          <w:rPr>
            <w:color w:val="00529F"/>
            <w:u w:val="single" w:color="00529F"/>
          </w:rPr>
          <w:t>Financial or material harm</w:t>
        </w:r>
      </w:hyperlink>
      <w:r>
        <w:rPr>
          <w:color w:val="00529F"/>
        </w:rPr>
        <w:t xml:space="preserve"> </w:t>
      </w:r>
      <w:hyperlink r:id="rId23" w:anchor="modern-slavery">
        <w:r>
          <w:rPr>
            <w:color w:val="00529F"/>
            <w:u w:val="single" w:color="00529F"/>
          </w:rPr>
          <w:t>Modern slavery</w:t>
        </w:r>
      </w:hyperlink>
    </w:p>
    <w:p w:rsidR="00BB5B9A" w:rsidRDefault="00BB5B9A" w:rsidP="00BB5B9A">
      <w:pPr>
        <w:pStyle w:val="BodyText"/>
        <w:ind w:left="1398" w:right="5210"/>
      </w:pPr>
      <w:hyperlink r:id="rId24" w:anchor="discriminatory">
        <w:r>
          <w:rPr>
            <w:color w:val="00529F"/>
            <w:u w:val="single" w:color="00529F"/>
          </w:rPr>
          <w:t>Discriminatory harm</w:t>
        </w:r>
      </w:hyperlink>
      <w:r>
        <w:rPr>
          <w:color w:val="00529F"/>
          <w:spacing w:val="40"/>
        </w:rPr>
        <w:t xml:space="preserve"> </w:t>
      </w:r>
      <w:hyperlink r:id="rId25" w:anchor="organisational">
        <w:proofErr w:type="spellStart"/>
        <w:r>
          <w:rPr>
            <w:color w:val="00529F"/>
            <w:u w:val="single" w:color="00529F"/>
          </w:rPr>
          <w:t>Organisational</w:t>
        </w:r>
        <w:proofErr w:type="spellEnd"/>
        <w:r>
          <w:rPr>
            <w:color w:val="00529F"/>
            <w:spacing w:val="-11"/>
            <w:u w:val="single" w:color="00529F"/>
          </w:rPr>
          <w:t xml:space="preserve"> </w:t>
        </w:r>
        <w:r>
          <w:rPr>
            <w:color w:val="00529F"/>
            <w:u w:val="single" w:color="00529F"/>
          </w:rPr>
          <w:t>or</w:t>
        </w:r>
        <w:r>
          <w:rPr>
            <w:color w:val="00529F"/>
            <w:spacing w:val="-12"/>
            <w:u w:val="single" w:color="00529F"/>
          </w:rPr>
          <w:t xml:space="preserve"> </w:t>
        </w:r>
        <w:r>
          <w:rPr>
            <w:color w:val="00529F"/>
            <w:u w:val="single" w:color="00529F"/>
          </w:rPr>
          <w:t>institutional</w:t>
        </w:r>
        <w:r>
          <w:rPr>
            <w:color w:val="00529F"/>
            <w:spacing w:val="-11"/>
            <w:u w:val="single" w:color="00529F"/>
          </w:rPr>
          <w:t xml:space="preserve"> </w:t>
        </w:r>
        <w:r>
          <w:rPr>
            <w:color w:val="00529F"/>
            <w:u w:val="single" w:color="00529F"/>
          </w:rPr>
          <w:t>harm</w:t>
        </w:r>
      </w:hyperlink>
      <w:r>
        <w:rPr>
          <w:color w:val="00529F"/>
        </w:rPr>
        <w:t xml:space="preserve"> </w:t>
      </w:r>
      <w:hyperlink r:id="rId26" w:anchor="neglect">
        <w:r>
          <w:rPr>
            <w:color w:val="00529F"/>
            <w:u w:val="single" w:color="00529F"/>
          </w:rPr>
          <w:t>Neglect or acts of omission</w:t>
        </w:r>
      </w:hyperlink>
    </w:p>
    <w:p w:rsidR="00BB5B9A" w:rsidRDefault="00BB5B9A" w:rsidP="00BB5B9A">
      <w:pPr>
        <w:pStyle w:val="BodyText"/>
        <w:ind w:left="1398" w:right="7221"/>
      </w:pPr>
      <w:hyperlink r:id="rId27" w:anchor="self-neglect">
        <w:r>
          <w:rPr>
            <w:color w:val="00529F"/>
            <w:spacing w:val="-2"/>
            <w:u w:val="single" w:color="00529F"/>
          </w:rPr>
          <w:t>Self-neglect</w:t>
        </w:r>
      </w:hyperlink>
      <w:r>
        <w:rPr>
          <w:color w:val="00529F"/>
          <w:spacing w:val="-2"/>
        </w:rPr>
        <w:t xml:space="preserve"> </w:t>
      </w:r>
      <w:r>
        <w:t>Also see:</w:t>
      </w:r>
    </w:p>
    <w:p w:rsidR="00BB5B9A" w:rsidRDefault="00BB5B9A" w:rsidP="00BB5B9A">
      <w:pPr>
        <w:pStyle w:val="BodyText"/>
        <w:ind w:left="1398"/>
      </w:pPr>
      <w:r>
        <w:rPr>
          <w:color w:val="00529F"/>
          <w:u w:val="single" w:color="00529F"/>
        </w:rPr>
        <w:t>NHS</w:t>
      </w:r>
      <w:r>
        <w:rPr>
          <w:color w:val="00529F"/>
          <w:spacing w:val="-4"/>
          <w:u w:val="single" w:color="00529F"/>
        </w:rPr>
        <w:t xml:space="preserve"> </w:t>
      </w:r>
      <w:r>
        <w:rPr>
          <w:color w:val="00529F"/>
          <w:u w:val="single" w:color="00529F"/>
        </w:rPr>
        <w:t>inform:</w:t>
      </w:r>
      <w:r>
        <w:rPr>
          <w:color w:val="00529F"/>
          <w:spacing w:val="-3"/>
          <w:u w:val="single" w:color="00529F"/>
        </w:rPr>
        <w:t xml:space="preserve"> </w:t>
      </w:r>
      <w:hyperlink r:id="rId28">
        <w:r>
          <w:rPr>
            <w:color w:val="0462C1"/>
            <w:u w:val="single" w:color="00529F"/>
          </w:rPr>
          <w:t>Self-</w:t>
        </w:r>
        <w:r>
          <w:rPr>
            <w:color w:val="0462C1"/>
            <w:spacing w:val="-4"/>
            <w:u w:val="single" w:color="00529F"/>
          </w:rPr>
          <w:t>harm</w:t>
        </w:r>
      </w:hyperlink>
    </w:p>
    <w:p w:rsidR="00BB5B9A" w:rsidRDefault="00BB5B9A" w:rsidP="00BB5B9A">
      <w:pPr>
        <w:pStyle w:val="BodyText"/>
      </w:pPr>
    </w:p>
    <w:p w:rsidR="00BB5B9A" w:rsidRDefault="00BB5B9A" w:rsidP="00BB5B9A">
      <w:pPr>
        <w:pStyle w:val="BodyText"/>
        <w:ind w:left="1057" w:right="615"/>
      </w:pPr>
      <w:r>
        <w:rPr>
          <w:b/>
        </w:rPr>
        <w:t xml:space="preserve">Some forms of harm may result in criminal charges </w:t>
      </w:r>
      <w:r>
        <w:t>being brought, under appropriate legislation, against the person perpetrating the harm. If, in dealing with a person under the terms of the Act, there is reason to suspect that a crime has been committed then the police should be advised without delay. Such legislation</w:t>
      </w:r>
      <w:r>
        <w:rPr>
          <w:spacing w:val="-3"/>
        </w:rPr>
        <w:t xml:space="preserve"> </w:t>
      </w:r>
      <w:r>
        <w:t>may</w:t>
      </w:r>
      <w:r>
        <w:rPr>
          <w:spacing w:val="-3"/>
        </w:rPr>
        <w:t xml:space="preserve"> </w:t>
      </w:r>
      <w:r>
        <w:t>include,</w:t>
      </w:r>
      <w:r>
        <w:rPr>
          <w:spacing w:val="-3"/>
        </w:rPr>
        <w:t xml:space="preserve"> </w:t>
      </w:r>
      <w:r>
        <w:t>for</w:t>
      </w:r>
      <w:r>
        <w:rPr>
          <w:spacing w:val="-3"/>
        </w:rPr>
        <w:t xml:space="preserve"> </w:t>
      </w:r>
      <w:r>
        <w:t>example,</w:t>
      </w:r>
      <w:r>
        <w:rPr>
          <w:spacing w:val="-3"/>
        </w:rPr>
        <w:t xml:space="preserve"> </w:t>
      </w:r>
      <w:hyperlink r:id="rId29">
        <w:r>
          <w:rPr>
            <w:color w:val="0000FF"/>
            <w:u w:val="single" w:color="0000FF"/>
          </w:rPr>
          <w:t>Section</w:t>
        </w:r>
        <w:r>
          <w:rPr>
            <w:color w:val="0000FF"/>
            <w:spacing w:val="-3"/>
            <w:u w:val="single" w:color="0000FF"/>
          </w:rPr>
          <w:t xml:space="preserve"> </w:t>
        </w:r>
        <w:r>
          <w:rPr>
            <w:color w:val="0000FF"/>
            <w:u w:val="single" w:color="0000FF"/>
          </w:rPr>
          <w:t>315</w:t>
        </w:r>
      </w:hyperlink>
      <w:r>
        <w:rPr>
          <w:color w:val="0000FF"/>
          <w:spacing w:val="-3"/>
          <w:u w:val="single" w:color="0000FF"/>
        </w:rPr>
        <w:t xml:space="preserve"> </w:t>
      </w:r>
      <w:r>
        <w:rPr>
          <w:color w:val="0000FF"/>
          <w:spacing w:val="-4"/>
        </w:rPr>
        <w:t xml:space="preserve"> </w:t>
      </w:r>
      <w:r>
        <w:t>of</w:t>
      </w:r>
      <w:r>
        <w:rPr>
          <w:spacing w:val="-4"/>
        </w:rPr>
        <w:t xml:space="preserve"> </w:t>
      </w:r>
      <w:r>
        <w:t>the</w:t>
      </w:r>
      <w:r>
        <w:rPr>
          <w:spacing w:val="-3"/>
        </w:rPr>
        <w:t xml:space="preserve"> </w:t>
      </w:r>
      <w:r>
        <w:t>Mental</w:t>
      </w:r>
      <w:r>
        <w:rPr>
          <w:spacing w:val="-3"/>
        </w:rPr>
        <w:t xml:space="preserve"> </w:t>
      </w:r>
      <w:r>
        <w:t>Health</w:t>
      </w:r>
      <w:r>
        <w:rPr>
          <w:spacing w:val="-4"/>
        </w:rPr>
        <w:t xml:space="preserve"> </w:t>
      </w:r>
      <w:r>
        <w:t>(Care</w:t>
      </w:r>
      <w:r>
        <w:rPr>
          <w:spacing w:val="-3"/>
        </w:rPr>
        <w:t xml:space="preserve"> </w:t>
      </w:r>
      <w:r>
        <w:t>and Treatment) (Scotland) Act 2003.</w:t>
      </w:r>
    </w:p>
    <w:p w:rsidR="00BB5B9A" w:rsidRDefault="00BB5B9A" w:rsidP="00BB5B9A">
      <w:pPr>
        <w:pStyle w:val="BodyText"/>
      </w:pPr>
    </w:p>
    <w:p w:rsidR="00BB5B9A" w:rsidRDefault="00BB5B9A" w:rsidP="00BB5B9A">
      <w:pPr>
        <w:pStyle w:val="BodyText"/>
        <w:ind w:left="1057" w:right="622"/>
      </w:pPr>
      <w:r>
        <w:t>The</w:t>
      </w:r>
      <w:r>
        <w:rPr>
          <w:spacing w:val="-3"/>
        </w:rPr>
        <w:t xml:space="preserve"> </w:t>
      </w:r>
      <w:r>
        <w:t>Counter-Terrorism</w:t>
      </w:r>
      <w:r>
        <w:rPr>
          <w:spacing w:val="-4"/>
        </w:rPr>
        <w:t xml:space="preserve"> </w:t>
      </w:r>
      <w:r>
        <w:t>and</w:t>
      </w:r>
      <w:r>
        <w:rPr>
          <w:spacing w:val="-4"/>
        </w:rPr>
        <w:t xml:space="preserve"> </w:t>
      </w:r>
      <w:r>
        <w:t>Security</w:t>
      </w:r>
      <w:r>
        <w:rPr>
          <w:spacing w:val="-4"/>
        </w:rPr>
        <w:t xml:space="preserve"> </w:t>
      </w:r>
      <w:r>
        <w:t>Act</w:t>
      </w:r>
      <w:r>
        <w:rPr>
          <w:spacing w:val="-4"/>
        </w:rPr>
        <w:t xml:space="preserve"> </w:t>
      </w:r>
      <w:r>
        <w:t>2015</w:t>
      </w:r>
      <w:r>
        <w:rPr>
          <w:spacing w:val="-3"/>
        </w:rPr>
        <w:t xml:space="preserve"> </w:t>
      </w:r>
      <w:r>
        <w:t>places</w:t>
      </w:r>
      <w:r>
        <w:rPr>
          <w:spacing w:val="-3"/>
        </w:rPr>
        <w:t xml:space="preserve"> </w:t>
      </w:r>
      <w:r>
        <w:t>a</w:t>
      </w:r>
      <w:r>
        <w:rPr>
          <w:spacing w:val="-3"/>
        </w:rPr>
        <w:t xml:space="preserve"> </w:t>
      </w:r>
      <w:r>
        <w:t>duty</w:t>
      </w:r>
      <w:r>
        <w:rPr>
          <w:spacing w:val="-3"/>
        </w:rPr>
        <w:t xml:space="preserve"> </w:t>
      </w:r>
      <w:r>
        <w:t>on</w:t>
      </w:r>
      <w:r>
        <w:rPr>
          <w:spacing w:val="-4"/>
        </w:rPr>
        <w:t xml:space="preserve"> </w:t>
      </w:r>
      <w:r>
        <w:t>those</w:t>
      </w:r>
      <w:r>
        <w:rPr>
          <w:spacing w:val="-3"/>
        </w:rPr>
        <w:t xml:space="preserve"> </w:t>
      </w:r>
      <w:r>
        <w:t>listed</w:t>
      </w:r>
      <w:r>
        <w:rPr>
          <w:spacing w:val="-3"/>
        </w:rPr>
        <w:t xml:space="preserve"> </w:t>
      </w:r>
      <w:r>
        <w:t xml:space="preserve">under </w:t>
      </w:r>
      <w:hyperlink r:id="rId30">
        <w:r>
          <w:rPr>
            <w:color w:val="0000FF"/>
            <w:u w:val="single" w:color="0000FF"/>
          </w:rPr>
          <w:t>specified authorities in Scotland</w:t>
        </w:r>
      </w:hyperlink>
      <w:r>
        <w:t>, such as councils, to have due regard to the need to prevent people from being drawn into terrorism. It also places an obligation on councils to ensure that a panel of persons is in place for its area to assess the extent to which identified individuals are vulnerable to being drawn into terrorism and, where appropriate, arrange for support to be provided.</w:t>
      </w:r>
    </w:p>
    <w:p w:rsidR="00BB5B9A" w:rsidRDefault="00BB5B9A" w:rsidP="00BB5B9A">
      <w:pPr>
        <w:pStyle w:val="BodyText"/>
      </w:pPr>
    </w:p>
    <w:p w:rsidR="00BB5B9A" w:rsidRDefault="00BB5B9A" w:rsidP="00BB5B9A">
      <w:pPr>
        <w:pStyle w:val="BodyText"/>
        <w:ind w:left="1057" w:right="694"/>
      </w:pPr>
      <w:hyperlink r:id="rId31">
        <w:r>
          <w:rPr>
            <w:color w:val="0462C1"/>
            <w:u w:val="single" w:color="0462C1"/>
          </w:rPr>
          <w:t>Guidance on Prevent Multi-Agency panels</w:t>
        </w:r>
      </w:hyperlink>
      <w:r>
        <w:rPr>
          <w:color w:val="0462C1"/>
        </w:rPr>
        <w:t xml:space="preserve"> </w:t>
      </w:r>
      <w:r>
        <w:t xml:space="preserve">(PMAP) is now available. </w:t>
      </w:r>
      <w:proofErr w:type="gramStart"/>
      <w:r>
        <w:t>When assessing referrals to such panels, councils and their partners should consider how best to align such assessments with adult protection legislation and guidance.</w:t>
      </w:r>
      <w:proofErr w:type="gramEnd"/>
      <w:r>
        <w:rPr>
          <w:spacing w:val="-4"/>
        </w:rPr>
        <w:t xml:space="preserve"> </w:t>
      </w:r>
      <w:r>
        <w:t>It</w:t>
      </w:r>
      <w:r>
        <w:rPr>
          <w:spacing w:val="-3"/>
        </w:rPr>
        <w:t xml:space="preserve"> </w:t>
      </w:r>
      <w:r>
        <w:t>should</w:t>
      </w:r>
      <w:r>
        <w:rPr>
          <w:spacing w:val="-4"/>
        </w:rPr>
        <w:t xml:space="preserve"> </w:t>
      </w:r>
      <w:r>
        <w:t>be</w:t>
      </w:r>
      <w:r>
        <w:rPr>
          <w:spacing w:val="-3"/>
        </w:rPr>
        <w:t xml:space="preserve"> </w:t>
      </w:r>
      <w:r>
        <w:t>borne</w:t>
      </w:r>
      <w:r>
        <w:rPr>
          <w:spacing w:val="-3"/>
        </w:rPr>
        <w:t xml:space="preserve"> </w:t>
      </w:r>
      <w:r>
        <w:t>in</w:t>
      </w:r>
      <w:r>
        <w:rPr>
          <w:spacing w:val="-4"/>
        </w:rPr>
        <w:t xml:space="preserve"> </w:t>
      </w:r>
      <w:r>
        <w:t>mind</w:t>
      </w:r>
      <w:r>
        <w:rPr>
          <w:spacing w:val="-3"/>
        </w:rPr>
        <w:t xml:space="preserve"> </w:t>
      </w:r>
      <w:r>
        <w:t>that</w:t>
      </w:r>
      <w:r>
        <w:rPr>
          <w:spacing w:val="-3"/>
        </w:rPr>
        <w:t xml:space="preserve"> </w:t>
      </w:r>
      <w:r>
        <w:t>Counter-Terrorism</w:t>
      </w:r>
      <w:r>
        <w:rPr>
          <w:spacing w:val="-3"/>
        </w:rPr>
        <w:t xml:space="preserve"> </w:t>
      </w:r>
      <w:r>
        <w:t>vulnerabilities</w:t>
      </w:r>
      <w:r>
        <w:rPr>
          <w:spacing w:val="-4"/>
        </w:rPr>
        <w:t xml:space="preserve"> </w:t>
      </w:r>
      <w:r>
        <w:rPr>
          <w:b/>
        </w:rPr>
        <w:t xml:space="preserve">must </w:t>
      </w:r>
      <w:r>
        <w:t>be dealt with by PMAP and cannot be managed by other safeguarding processes: if need be, separate processes can run parallel to each other.</w:t>
      </w:r>
    </w:p>
    <w:p w:rsidR="00BB5B9A" w:rsidRDefault="00BB5B9A" w:rsidP="00BB5B9A">
      <w:pPr>
        <w:pStyle w:val="BodyText"/>
      </w:pPr>
    </w:p>
    <w:p w:rsidR="00BB5B9A" w:rsidRDefault="00BB5B9A" w:rsidP="00BB5B9A">
      <w:pPr>
        <w:pStyle w:val="BodyText"/>
        <w:ind w:left="1057" w:right="639"/>
      </w:pPr>
      <w:r>
        <w:t xml:space="preserve">Where Domestic Abuse is a factor, the </w:t>
      </w:r>
      <w:hyperlink r:id="rId32">
        <w:r>
          <w:rPr>
            <w:color w:val="0462C1"/>
            <w:u w:val="single" w:color="0462C1"/>
          </w:rPr>
          <w:t>Domestic Abuse (Scotland) Act 2018</w:t>
        </w:r>
      </w:hyperlink>
      <w:r>
        <w:rPr>
          <w:color w:val="0462C1"/>
        </w:rPr>
        <w:t xml:space="preserve"> </w:t>
      </w:r>
      <w:r>
        <w:t xml:space="preserve">should be consulted. This legislation relates to partners or ex-partners and defines abusive </w:t>
      </w:r>
      <w:proofErr w:type="spellStart"/>
      <w:r>
        <w:t>behaviour</w:t>
      </w:r>
      <w:proofErr w:type="spellEnd"/>
      <w:r>
        <w:t xml:space="preserve"> as that which a reasonable person would consider likely</w:t>
      </w:r>
      <w:r>
        <w:rPr>
          <w:spacing w:val="-4"/>
        </w:rPr>
        <w:t xml:space="preserve"> </w:t>
      </w:r>
      <w:r>
        <w:t>to</w:t>
      </w:r>
      <w:r>
        <w:rPr>
          <w:spacing w:val="-4"/>
        </w:rPr>
        <w:t xml:space="preserve"> </w:t>
      </w:r>
      <w:r>
        <w:t>cause</w:t>
      </w:r>
      <w:r>
        <w:rPr>
          <w:spacing w:val="-4"/>
        </w:rPr>
        <w:t xml:space="preserve"> </w:t>
      </w:r>
      <w:r>
        <w:t>physical</w:t>
      </w:r>
      <w:r>
        <w:rPr>
          <w:spacing w:val="-4"/>
        </w:rPr>
        <w:t xml:space="preserve"> </w:t>
      </w:r>
      <w:r>
        <w:t>or</w:t>
      </w:r>
      <w:r>
        <w:rPr>
          <w:spacing w:val="-4"/>
        </w:rPr>
        <w:t xml:space="preserve"> </w:t>
      </w:r>
      <w:r>
        <w:t>psychological</w:t>
      </w:r>
      <w:r>
        <w:rPr>
          <w:spacing w:val="-4"/>
        </w:rPr>
        <w:t xml:space="preserve"> </w:t>
      </w:r>
      <w:r>
        <w:t>harm.</w:t>
      </w:r>
      <w:r>
        <w:rPr>
          <w:spacing w:val="-4"/>
        </w:rPr>
        <w:t xml:space="preserve"> </w:t>
      </w:r>
      <w:r>
        <w:t>Psychological</w:t>
      </w:r>
      <w:r>
        <w:rPr>
          <w:spacing w:val="-4"/>
        </w:rPr>
        <w:t xml:space="preserve"> </w:t>
      </w:r>
      <w:r>
        <w:t>harm</w:t>
      </w:r>
      <w:r>
        <w:rPr>
          <w:spacing w:val="-4"/>
        </w:rPr>
        <w:t xml:space="preserve"> </w:t>
      </w:r>
      <w:r>
        <w:t>includes</w:t>
      </w:r>
      <w:r>
        <w:rPr>
          <w:spacing w:val="-4"/>
        </w:rPr>
        <w:t xml:space="preserve"> </w:t>
      </w:r>
      <w:r>
        <w:t>fear, distress, or alarm.</w:t>
      </w:r>
    </w:p>
    <w:p w:rsidR="00BB5B9A" w:rsidRDefault="00BB5B9A" w:rsidP="00BB5B9A">
      <w:pPr>
        <w:sectPr w:rsidR="00BB5B9A">
          <w:pgSz w:w="11910" w:h="16840"/>
          <w:pgMar w:top="1160" w:right="860" w:bottom="1240" w:left="740" w:header="716" w:footer="959" w:gutter="0"/>
          <w:cols w:space="720"/>
        </w:sectPr>
      </w:pPr>
    </w:p>
    <w:p w:rsidR="00BB5B9A" w:rsidRDefault="00BB5B9A" w:rsidP="00BB5B9A">
      <w:pPr>
        <w:pStyle w:val="Heading1"/>
        <w:spacing w:before="89"/>
      </w:pPr>
      <w:bookmarkStart w:id="2" w:name="_bookmark14"/>
      <w:bookmarkEnd w:id="2"/>
      <w:r>
        <w:lastRenderedPageBreak/>
        <w:t>Being</w:t>
      </w:r>
      <w:r>
        <w:rPr>
          <w:spacing w:val="-11"/>
        </w:rPr>
        <w:t xml:space="preserve"> </w:t>
      </w:r>
      <w:r>
        <w:t>more</w:t>
      </w:r>
      <w:r>
        <w:rPr>
          <w:spacing w:val="-11"/>
        </w:rPr>
        <w:t xml:space="preserve"> </w:t>
      </w:r>
      <w:r>
        <w:t>vulnerable</w:t>
      </w:r>
      <w:r>
        <w:rPr>
          <w:spacing w:val="-10"/>
        </w:rPr>
        <w:t xml:space="preserve"> </w:t>
      </w:r>
      <w:r>
        <w:t>to</w:t>
      </w:r>
      <w:r>
        <w:rPr>
          <w:spacing w:val="-11"/>
        </w:rPr>
        <w:t xml:space="preserve"> </w:t>
      </w:r>
      <w:r>
        <w:rPr>
          <w:spacing w:val="-4"/>
        </w:rPr>
        <w:t>harm</w:t>
      </w:r>
    </w:p>
    <w:p w:rsidR="00BB5B9A" w:rsidRDefault="00BB5B9A" w:rsidP="00BB5B9A">
      <w:pPr>
        <w:pStyle w:val="BodyText"/>
        <w:spacing w:before="1"/>
        <w:rPr>
          <w:b/>
        </w:rPr>
      </w:pPr>
    </w:p>
    <w:p w:rsidR="00BB5B9A" w:rsidRDefault="00BB5B9A" w:rsidP="00BB5B9A">
      <w:pPr>
        <w:pStyle w:val="BodyText"/>
        <w:ind w:left="1057" w:right="694"/>
      </w:pPr>
      <w:r>
        <w:t>The third criteria point requires that because the adult is affected by disability, mental disorder, illness, or physical or mental infirmity they are more vulnerable to</w:t>
      </w:r>
      <w:r>
        <w:rPr>
          <w:spacing w:val="-3"/>
        </w:rPr>
        <w:t xml:space="preserve"> </w:t>
      </w:r>
      <w:r>
        <w:t>being</w:t>
      </w:r>
      <w:r>
        <w:rPr>
          <w:spacing w:val="-3"/>
        </w:rPr>
        <w:t xml:space="preserve"> </w:t>
      </w:r>
      <w:r>
        <w:t>harmed</w:t>
      </w:r>
      <w:r>
        <w:rPr>
          <w:spacing w:val="-3"/>
        </w:rPr>
        <w:t xml:space="preserve"> </w:t>
      </w:r>
      <w:r>
        <w:t>than</w:t>
      </w:r>
      <w:r>
        <w:rPr>
          <w:spacing w:val="-3"/>
        </w:rPr>
        <w:t xml:space="preserve"> </w:t>
      </w:r>
      <w:r>
        <w:t>adults</w:t>
      </w:r>
      <w:r>
        <w:rPr>
          <w:spacing w:val="-4"/>
        </w:rPr>
        <w:t xml:space="preserve"> </w:t>
      </w:r>
      <w:r>
        <w:t>who</w:t>
      </w:r>
      <w:r>
        <w:rPr>
          <w:spacing w:val="-3"/>
        </w:rPr>
        <w:t xml:space="preserve"> </w:t>
      </w:r>
      <w:r>
        <w:t>are</w:t>
      </w:r>
      <w:r>
        <w:rPr>
          <w:spacing w:val="-3"/>
        </w:rPr>
        <w:t xml:space="preserve"> </w:t>
      </w:r>
      <w:r>
        <w:t>not</w:t>
      </w:r>
      <w:r>
        <w:rPr>
          <w:spacing w:val="-3"/>
        </w:rPr>
        <w:t xml:space="preserve"> </w:t>
      </w:r>
      <w:r>
        <w:t>so</w:t>
      </w:r>
      <w:r>
        <w:rPr>
          <w:spacing w:val="-3"/>
        </w:rPr>
        <w:t xml:space="preserve"> </w:t>
      </w:r>
      <w:r>
        <w:t>affected.</w:t>
      </w:r>
      <w:r>
        <w:rPr>
          <w:spacing w:val="-4"/>
        </w:rPr>
        <w:t xml:space="preserve"> </w:t>
      </w:r>
      <w:r>
        <w:t>Physical</w:t>
      </w:r>
      <w:r>
        <w:rPr>
          <w:spacing w:val="-3"/>
        </w:rPr>
        <w:t xml:space="preserve"> </w:t>
      </w:r>
      <w:r>
        <w:t>or</w:t>
      </w:r>
      <w:r>
        <w:rPr>
          <w:spacing w:val="-3"/>
        </w:rPr>
        <w:t xml:space="preserve"> </w:t>
      </w:r>
      <w:r>
        <w:t>mental</w:t>
      </w:r>
      <w:r>
        <w:rPr>
          <w:spacing w:val="-3"/>
        </w:rPr>
        <w:t xml:space="preserve"> </w:t>
      </w:r>
      <w:proofErr w:type="gramStart"/>
      <w:r>
        <w:t>infirmity are</w:t>
      </w:r>
      <w:proofErr w:type="gramEnd"/>
      <w:r>
        <w:t xml:space="preserve"> distinct from disability and mental disorder, and are not defined in the Act.</w:t>
      </w:r>
    </w:p>
    <w:p w:rsidR="00BB5B9A" w:rsidRDefault="00BB5B9A" w:rsidP="00BB5B9A">
      <w:pPr>
        <w:pStyle w:val="BodyText"/>
        <w:ind w:left="1057" w:right="639"/>
      </w:pPr>
      <w:r>
        <w:t>Infirmity is defined as a “</w:t>
      </w:r>
      <w:hyperlink r:id="rId33">
        <w:r>
          <w:rPr>
            <w:color w:val="0462C1"/>
            <w:u w:val="single" w:color="0462C1"/>
          </w:rPr>
          <w:t>physical or mental weakness</w:t>
        </w:r>
      </w:hyperlink>
      <w:r>
        <w:t>”. Infirmity does not, therefore,</w:t>
      </w:r>
      <w:r>
        <w:rPr>
          <w:spacing w:val="-4"/>
        </w:rPr>
        <w:t xml:space="preserve"> </w:t>
      </w:r>
      <w:r>
        <w:t>necessarily</w:t>
      </w:r>
      <w:r>
        <w:rPr>
          <w:spacing w:val="-3"/>
        </w:rPr>
        <w:t xml:space="preserve"> </w:t>
      </w:r>
      <w:r>
        <w:t>rely</w:t>
      </w:r>
      <w:r>
        <w:rPr>
          <w:spacing w:val="-3"/>
        </w:rPr>
        <w:t xml:space="preserve"> </w:t>
      </w:r>
      <w:r>
        <w:t>upon</w:t>
      </w:r>
      <w:r>
        <w:rPr>
          <w:spacing w:val="-3"/>
        </w:rPr>
        <w:t xml:space="preserve"> </w:t>
      </w:r>
      <w:r>
        <w:t>a</w:t>
      </w:r>
      <w:r>
        <w:rPr>
          <w:spacing w:val="-3"/>
        </w:rPr>
        <w:t xml:space="preserve"> </w:t>
      </w:r>
      <w:r>
        <w:t>medical</w:t>
      </w:r>
      <w:r>
        <w:rPr>
          <w:spacing w:val="-3"/>
        </w:rPr>
        <w:t xml:space="preserve"> </w:t>
      </w:r>
      <w:r>
        <w:t>diagnosis</w:t>
      </w:r>
      <w:r>
        <w:rPr>
          <w:spacing w:val="-3"/>
        </w:rPr>
        <w:t xml:space="preserve"> </w:t>
      </w:r>
      <w:r>
        <w:t>in</w:t>
      </w:r>
      <w:r>
        <w:rPr>
          <w:spacing w:val="-3"/>
        </w:rPr>
        <w:t xml:space="preserve"> </w:t>
      </w:r>
      <w:r>
        <w:t>the</w:t>
      </w:r>
      <w:r>
        <w:rPr>
          <w:spacing w:val="-3"/>
        </w:rPr>
        <w:t xml:space="preserve"> </w:t>
      </w:r>
      <w:r>
        <w:t>way</w:t>
      </w:r>
      <w:r>
        <w:rPr>
          <w:spacing w:val="-4"/>
        </w:rPr>
        <w:t xml:space="preserve"> </w:t>
      </w:r>
      <w:r>
        <w:t>that</w:t>
      </w:r>
      <w:r>
        <w:rPr>
          <w:spacing w:val="-4"/>
        </w:rPr>
        <w:t xml:space="preserve"> </w:t>
      </w:r>
      <w:r>
        <w:t xml:space="preserve">mental disorder or </w:t>
      </w:r>
      <w:proofErr w:type="gramStart"/>
      <w:r>
        <w:t>illness do</w:t>
      </w:r>
      <w:proofErr w:type="gramEnd"/>
      <w:r>
        <w:t>.</w:t>
      </w:r>
    </w:p>
    <w:p w:rsidR="00BB5B9A" w:rsidRDefault="00BB5B9A" w:rsidP="00BB5B9A">
      <w:pPr>
        <w:pStyle w:val="BodyText"/>
        <w:spacing w:before="275"/>
        <w:ind w:left="1057"/>
      </w:pPr>
      <w:r>
        <w:rPr>
          <w:b/>
        </w:rPr>
        <w:t>To</w:t>
      </w:r>
      <w:r>
        <w:rPr>
          <w:b/>
          <w:spacing w:val="-2"/>
        </w:rPr>
        <w:t xml:space="preserve"> </w:t>
      </w:r>
      <w:r>
        <w:rPr>
          <w:b/>
        </w:rPr>
        <w:t>note:</w:t>
      </w:r>
      <w:r>
        <w:rPr>
          <w:b/>
          <w:spacing w:val="-2"/>
        </w:rPr>
        <w:t xml:space="preserve"> </w:t>
      </w:r>
      <w:r>
        <w:t>It</w:t>
      </w:r>
      <w:r>
        <w:rPr>
          <w:spacing w:val="-2"/>
        </w:rPr>
        <w:t xml:space="preserve"> </w:t>
      </w:r>
      <w:r>
        <w:t>is</w:t>
      </w:r>
      <w:r>
        <w:rPr>
          <w:spacing w:val="-2"/>
        </w:rPr>
        <w:t xml:space="preserve"> </w:t>
      </w:r>
      <w:proofErr w:type="spellStart"/>
      <w:r>
        <w:t>recognised</w:t>
      </w:r>
      <w:proofErr w:type="spellEnd"/>
      <w:r>
        <w:rPr>
          <w:spacing w:val="-2"/>
        </w:rPr>
        <w:t xml:space="preserve"> </w:t>
      </w:r>
      <w:r>
        <w:t>that</w:t>
      </w:r>
      <w:r>
        <w:rPr>
          <w:spacing w:val="-3"/>
        </w:rPr>
        <w:t xml:space="preserve"> </w:t>
      </w:r>
      <w:r>
        <w:t>“infirmity”</w:t>
      </w:r>
      <w:r>
        <w:rPr>
          <w:spacing w:val="-2"/>
        </w:rPr>
        <w:t xml:space="preserve"> </w:t>
      </w:r>
      <w:r>
        <w:t>is</w:t>
      </w:r>
      <w:r>
        <w:rPr>
          <w:spacing w:val="-3"/>
        </w:rPr>
        <w:t xml:space="preserve"> </w:t>
      </w:r>
      <w:r>
        <w:t>a</w:t>
      </w:r>
      <w:r>
        <w:rPr>
          <w:spacing w:val="-2"/>
        </w:rPr>
        <w:t xml:space="preserve"> </w:t>
      </w:r>
      <w:r>
        <w:t>term</w:t>
      </w:r>
      <w:r>
        <w:rPr>
          <w:spacing w:val="-2"/>
        </w:rPr>
        <w:t xml:space="preserve"> </w:t>
      </w:r>
      <w:r>
        <w:t>that</w:t>
      </w:r>
      <w:r>
        <w:rPr>
          <w:spacing w:val="-3"/>
        </w:rPr>
        <w:t xml:space="preserve"> </w:t>
      </w:r>
      <w:r>
        <w:t>is</w:t>
      </w:r>
      <w:r>
        <w:rPr>
          <w:spacing w:val="-2"/>
        </w:rPr>
        <w:t xml:space="preserve"> </w:t>
      </w:r>
      <w:r>
        <w:t>no</w:t>
      </w:r>
      <w:r>
        <w:rPr>
          <w:spacing w:val="-2"/>
        </w:rPr>
        <w:t xml:space="preserve"> </w:t>
      </w:r>
      <w:r>
        <w:t>longer</w:t>
      </w:r>
      <w:r>
        <w:rPr>
          <w:spacing w:val="-2"/>
        </w:rPr>
        <w:t xml:space="preserve"> </w:t>
      </w:r>
      <w:proofErr w:type="spellStart"/>
      <w:r>
        <w:t>favoured</w:t>
      </w:r>
      <w:proofErr w:type="spellEnd"/>
      <w:r>
        <w:rPr>
          <w:spacing w:val="-2"/>
        </w:rPr>
        <w:t xml:space="preserve"> </w:t>
      </w:r>
      <w:r>
        <w:t>when describing disability.</w:t>
      </w:r>
    </w:p>
    <w:p w:rsidR="00BB5B9A" w:rsidRDefault="00BB5B9A" w:rsidP="00BB5B9A">
      <w:pPr>
        <w:pStyle w:val="BodyText"/>
        <w:spacing w:before="1"/>
        <w:ind w:left="1057" w:right="639"/>
      </w:pPr>
      <w:r>
        <w:t>Having</w:t>
      </w:r>
      <w:r>
        <w:rPr>
          <w:spacing w:val="-3"/>
        </w:rPr>
        <w:t xml:space="preserve"> </w:t>
      </w:r>
      <w:r>
        <w:t>a</w:t>
      </w:r>
      <w:r>
        <w:rPr>
          <w:spacing w:val="-3"/>
        </w:rPr>
        <w:t xml:space="preserve"> </w:t>
      </w:r>
      <w:r>
        <w:t>particular</w:t>
      </w:r>
      <w:r>
        <w:rPr>
          <w:spacing w:val="-3"/>
        </w:rPr>
        <w:t xml:space="preserve"> </w:t>
      </w:r>
      <w:r>
        <w:t>condition</w:t>
      </w:r>
      <w:r>
        <w:rPr>
          <w:spacing w:val="-3"/>
        </w:rPr>
        <w:t xml:space="preserve"> </w:t>
      </w:r>
      <w:r>
        <w:t>or</w:t>
      </w:r>
      <w:r>
        <w:rPr>
          <w:spacing w:val="-4"/>
        </w:rPr>
        <w:t xml:space="preserve"> </w:t>
      </w:r>
      <w:r>
        <w:t>being</w:t>
      </w:r>
      <w:r>
        <w:rPr>
          <w:spacing w:val="-3"/>
        </w:rPr>
        <w:t xml:space="preserve"> </w:t>
      </w:r>
      <w:r>
        <w:t>a</w:t>
      </w:r>
      <w:r>
        <w:rPr>
          <w:spacing w:val="-3"/>
        </w:rPr>
        <w:t xml:space="preserve"> </w:t>
      </w:r>
      <w:r>
        <w:t>disabled</w:t>
      </w:r>
      <w:r>
        <w:rPr>
          <w:spacing w:val="-3"/>
        </w:rPr>
        <w:t xml:space="preserve"> </w:t>
      </w:r>
      <w:r>
        <w:t>person</w:t>
      </w:r>
      <w:r>
        <w:rPr>
          <w:spacing w:val="-3"/>
        </w:rPr>
        <w:t xml:space="preserve"> </w:t>
      </w:r>
      <w:r>
        <w:t>does</w:t>
      </w:r>
      <w:r>
        <w:rPr>
          <w:spacing w:val="-4"/>
        </w:rPr>
        <w:t xml:space="preserve"> </w:t>
      </w:r>
      <w:r>
        <w:t>not</w:t>
      </w:r>
      <w:r>
        <w:rPr>
          <w:spacing w:val="-3"/>
        </w:rPr>
        <w:t xml:space="preserve"> </w:t>
      </w:r>
      <w:r>
        <w:t>automatically mean someone is unable to safeguard their own wellbeing.</w:t>
      </w:r>
    </w:p>
    <w:p w:rsidR="00BB5B9A" w:rsidRDefault="00BB5B9A" w:rsidP="00BB5B9A">
      <w:pPr>
        <w:pStyle w:val="BodyText"/>
        <w:ind w:left="1057" w:right="694"/>
      </w:pPr>
      <w:r>
        <w:t>“Illness” can apply to physical or mental health. The impact of illness on an individual’s ability to safeguard themselves, and the extent to which it makes them</w:t>
      </w:r>
      <w:r>
        <w:rPr>
          <w:spacing w:val="-3"/>
        </w:rPr>
        <w:t xml:space="preserve"> </w:t>
      </w:r>
      <w:r>
        <w:t>more</w:t>
      </w:r>
      <w:r>
        <w:rPr>
          <w:spacing w:val="-3"/>
        </w:rPr>
        <w:t xml:space="preserve"> </w:t>
      </w:r>
      <w:r>
        <w:t>vulnerable</w:t>
      </w:r>
      <w:r>
        <w:rPr>
          <w:spacing w:val="-3"/>
        </w:rPr>
        <w:t xml:space="preserve"> </w:t>
      </w:r>
      <w:r>
        <w:t>to</w:t>
      </w:r>
      <w:r>
        <w:rPr>
          <w:spacing w:val="-4"/>
        </w:rPr>
        <w:t xml:space="preserve"> </w:t>
      </w:r>
      <w:r>
        <w:t>harm,</w:t>
      </w:r>
      <w:r>
        <w:rPr>
          <w:spacing w:val="-5"/>
        </w:rPr>
        <w:t xml:space="preserve"> </w:t>
      </w:r>
      <w:r>
        <w:t>must</w:t>
      </w:r>
      <w:r>
        <w:rPr>
          <w:spacing w:val="-3"/>
        </w:rPr>
        <w:t xml:space="preserve"> </w:t>
      </w:r>
      <w:r>
        <w:t>be</w:t>
      </w:r>
      <w:r>
        <w:rPr>
          <w:spacing w:val="-3"/>
        </w:rPr>
        <w:t xml:space="preserve"> </w:t>
      </w:r>
      <w:r>
        <w:t>considered.</w:t>
      </w:r>
      <w:r>
        <w:rPr>
          <w:spacing w:val="-3"/>
        </w:rPr>
        <w:t xml:space="preserve"> </w:t>
      </w:r>
      <w:r>
        <w:t>Depending</w:t>
      </w:r>
      <w:r>
        <w:rPr>
          <w:spacing w:val="-4"/>
        </w:rPr>
        <w:t xml:space="preserve"> </w:t>
      </w:r>
      <w:r>
        <w:t>upon</w:t>
      </w:r>
      <w:r>
        <w:rPr>
          <w:spacing w:val="-3"/>
        </w:rPr>
        <w:t xml:space="preserve"> </w:t>
      </w:r>
      <w:r>
        <w:t>the</w:t>
      </w:r>
      <w:r>
        <w:rPr>
          <w:spacing w:val="-3"/>
        </w:rPr>
        <w:t xml:space="preserve"> </w:t>
      </w:r>
      <w:r>
        <w:t>nature and trajectory of an illness, the assessment of this criterion of the three-point criteria may change over time.</w:t>
      </w:r>
    </w:p>
    <w:p w:rsidR="00BB5B9A" w:rsidRDefault="00BB5B9A" w:rsidP="00BB5B9A">
      <w:pPr>
        <w:pStyle w:val="BodyText"/>
        <w:spacing w:before="240"/>
      </w:pPr>
    </w:p>
    <w:p w:rsidR="00A2199D" w:rsidRDefault="00DC4E42"/>
    <w:sectPr w:rsidR="00A21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42" w:rsidRDefault="00DC4E42" w:rsidP="00BB5B9A">
      <w:r>
        <w:separator/>
      </w:r>
    </w:p>
  </w:endnote>
  <w:endnote w:type="continuationSeparator" w:id="0">
    <w:p w:rsidR="00DC4E42" w:rsidRDefault="00DC4E42" w:rsidP="00BB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Footer"/>
    </w:pPr>
    <w:r>
      <w:t xml:space="preserve">Excerpt from Chapter 2 of Adult Support and Protection Act (Scotland) 2007, Code of Practice July </w:t>
    </w:r>
    <w:proofErr w:type="gramStart"/>
    <w:r>
      <w:t xml:space="preserve">2022 </w:t>
    </w:r>
    <w:bookmarkStart w:id="1" w:name="_GoBack"/>
    <w:bookmarkEnd w:id="1"/>
    <w:r>
      <w:t xml:space="preserve"> ©</w:t>
    </w:r>
    <w:proofErr w:type="gramEnd"/>
    <w:r>
      <w:t xml:space="preserve"> Crown copyright 2022</w:t>
    </w:r>
  </w:p>
  <w:p w:rsidR="00BB5B9A" w:rsidRDefault="00BB5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42" w:rsidRDefault="00DC4E42" w:rsidP="00BB5B9A">
      <w:r>
        <w:separator/>
      </w:r>
    </w:p>
  </w:footnote>
  <w:footnote w:type="continuationSeparator" w:id="0">
    <w:p w:rsidR="00DC4E42" w:rsidRDefault="00DC4E42" w:rsidP="00BB5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9A" w:rsidRDefault="00BB5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310C"/>
    <w:multiLevelType w:val="hybridMultilevel"/>
    <w:tmpl w:val="FFFFFFFF"/>
    <w:lvl w:ilvl="0" w:tplc="B7884B3C">
      <w:numFmt w:val="bullet"/>
      <w:lvlText w:val=""/>
      <w:lvlJc w:val="left"/>
      <w:pPr>
        <w:ind w:left="2116" w:hanging="361"/>
      </w:pPr>
      <w:rPr>
        <w:rFonts w:ascii="Symbol" w:eastAsia="Symbol" w:hAnsi="Symbol" w:cs="Symbol" w:hint="default"/>
        <w:b w:val="0"/>
        <w:bCs w:val="0"/>
        <w:i w:val="0"/>
        <w:iCs w:val="0"/>
        <w:spacing w:val="0"/>
        <w:w w:val="100"/>
        <w:sz w:val="24"/>
        <w:szCs w:val="24"/>
        <w:lang w:val="en-US" w:eastAsia="en-US" w:bidi="ar-SA"/>
      </w:rPr>
    </w:lvl>
    <w:lvl w:ilvl="1" w:tplc="942E54BC">
      <w:numFmt w:val="bullet"/>
      <w:lvlText w:val="•"/>
      <w:lvlJc w:val="left"/>
      <w:pPr>
        <w:ind w:left="2938" w:hanging="361"/>
      </w:pPr>
      <w:rPr>
        <w:rFonts w:hint="default"/>
        <w:lang w:val="en-US" w:eastAsia="en-US" w:bidi="ar-SA"/>
      </w:rPr>
    </w:lvl>
    <w:lvl w:ilvl="2" w:tplc="0A76AD92">
      <w:numFmt w:val="bullet"/>
      <w:lvlText w:val="•"/>
      <w:lvlJc w:val="left"/>
      <w:pPr>
        <w:ind w:left="3757" w:hanging="361"/>
      </w:pPr>
      <w:rPr>
        <w:rFonts w:hint="default"/>
        <w:lang w:val="en-US" w:eastAsia="en-US" w:bidi="ar-SA"/>
      </w:rPr>
    </w:lvl>
    <w:lvl w:ilvl="3" w:tplc="670EDA66">
      <w:numFmt w:val="bullet"/>
      <w:lvlText w:val="•"/>
      <w:lvlJc w:val="left"/>
      <w:pPr>
        <w:ind w:left="4575" w:hanging="361"/>
      </w:pPr>
      <w:rPr>
        <w:rFonts w:hint="default"/>
        <w:lang w:val="en-US" w:eastAsia="en-US" w:bidi="ar-SA"/>
      </w:rPr>
    </w:lvl>
    <w:lvl w:ilvl="4" w:tplc="121634A6">
      <w:numFmt w:val="bullet"/>
      <w:lvlText w:val="•"/>
      <w:lvlJc w:val="left"/>
      <w:pPr>
        <w:ind w:left="5394" w:hanging="361"/>
      </w:pPr>
      <w:rPr>
        <w:rFonts w:hint="default"/>
        <w:lang w:val="en-US" w:eastAsia="en-US" w:bidi="ar-SA"/>
      </w:rPr>
    </w:lvl>
    <w:lvl w:ilvl="5" w:tplc="36025130">
      <w:numFmt w:val="bullet"/>
      <w:lvlText w:val="•"/>
      <w:lvlJc w:val="left"/>
      <w:pPr>
        <w:ind w:left="6212" w:hanging="361"/>
      </w:pPr>
      <w:rPr>
        <w:rFonts w:hint="default"/>
        <w:lang w:val="en-US" w:eastAsia="en-US" w:bidi="ar-SA"/>
      </w:rPr>
    </w:lvl>
    <w:lvl w:ilvl="6" w:tplc="FD52DE98">
      <w:numFmt w:val="bullet"/>
      <w:lvlText w:val="•"/>
      <w:lvlJc w:val="left"/>
      <w:pPr>
        <w:ind w:left="7031" w:hanging="361"/>
      </w:pPr>
      <w:rPr>
        <w:rFonts w:hint="default"/>
        <w:lang w:val="en-US" w:eastAsia="en-US" w:bidi="ar-SA"/>
      </w:rPr>
    </w:lvl>
    <w:lvl w:ilvl="7" w:tplc="217A9C62">
      <w:numFmt w:val="bullet"/>
      <w:lvlText w:val="•"/>
      <w:lvlJc w:val="left"/>
      <w:pPr>
        <w:ind w:left="7849" w:hanging="361"/>
      </w:pPr>
      <w:rPr>
        <w:rFonts w:hint="default"/>
        <w:lang w:val="en-US" w:eastAsia="en-US" w:bidi="ar-SA"/>
      </w:rPr>
    </w:lvl>
    <w:lvl w:ilvl="8" w:tplc="04B8673C">
      <w:numFmt w:val="bullet"/>
      <w:lvlText w:val="•"/>
      <w:lvlJc w:val="left"/>
      <w:pPr>
        <w:ind w:left="866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9A"/>
    <w:rsid w:val="007F7CE6"/>
    <w:rsid w:val="00BB5B9A"/>
    <w:rsid w:val="00DC4E42"/>
    <w:rsid w:val="00FC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9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BB5B9A"/>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9A"/>
    <w:rPr>
      <w:rFonts w:ascii="Arial" w:eastAsia="Arial" w:hAnsi="Arial" w:cs="Arial"/>
      <w:b/>
      <w:bCs/>
      <w:sz w:val="24"/>
      <w:szCs w:val="24"/>
      <w:lang w:val="en-US"/>
    </w:rPr>
  </w:style>
  <w:style w:type="paragraph" w:styleId="BodyText">
    <w:name w:val="Body Text"/>
    <w:basedOn w:val="Normal"/>
    <w:link w:val="BodyTextChar"/>
    <w:uiPriority w:val="1"/>
    <w:qFormat/>
    <w:rsid w:val="00BB5B9A"/>
    <w:rPr>
      <w:sz w:val="24"/>
      <w:szCs w:val="24"/>
    </w:rPr>
  </w:style>
  <w:style w:type="character" w:customStyle="1" w:styleId="BodyTextChar">
    <w:name w:val="Body Text Char"/>
    <w:basedOn w:val="DefaultParagraphFont"/>
    <w:link w:val="BodyText"/>
    <w:uiPriority w:val="1"/>
    <w:rsid w:val="00BB5B9A"/>
    <w:rPr>
      <w:rFonts w:ascii="Arial" w:eastAsia="Arial" w:hAnsi="Arial" w:cs="Arial"/>
      <w:sz w:val="24"/>
      <w:szCs w:val="24"/>
      <w:lang w:val="en-US"/>
    </w:rPr>
  </w:style>
  <w:style w:type="paragraph" w:styleId="ListParagraph">
    <w:name w:val="List Paragraph"/>
    <w:basedOn w:val="Normal"/>
    <w:uiPriority w:val="1"/>
    <w:qFormat/>
    <w:rsid w:val="00BB5B9A"/>
    <w:pPr>
      <w:ind w:left="1420" w:hanging="360"/>
    </w:pPr>
  </w:style>
  <w:style w:type="paragraph" w:styleId="Header">
    <w:name w:val="header"/>
    <w:basedOn w:val="Normal"/>
    <w:link w:val="HeaderChar"/>
    <w:uiPriority w:val="99"/>
    <w:unhideWhenUsed/>
    <w:rsid w:val="00BB5B9A"/>
    <w:pPr>
      <w:tabs>
        <w:tab w:val="center" w:pos="4513"/>
        <w:tab w:val="right" w:pos="9026"/>
      </w:tabs>
    </w:pPr>
  </w:style>
  <w:style w:type="character" w:customStyle="1" w:styleId="HeaderChar">
    <w:name w:val="Header Char"/>
    <w:basedOn w:val="DefaultParagraphFont"/>
    <w:link w:val="Header"/>
    <w:uiPriority w:val="99"/>
    <w:rsid w:val="00BB5B9A"/>
    <w:rPr>
      <w:rFonts w:ascii="Arial" w:eastAsia="Arial" w:hAnsi="Arial" w:cs="Arial"/>
      <w:lang w:val="en-US"/>
    </w:rPr>
  </w:style>
  <w:style w:type="paragraph" w:styleId="Footer">
    <w:name w:val="footer"/>
    <w:basedOn w:val="Normal"/>
    <w:link w:val="FooterChar"/>
    <w:uiPriority w:val="99"/>
    <w:unhideWhenUsed/>
    <w:rsid w:val="00BB5B9A"/>
    <w:pPr>
      <w:tabs>
        <w:tab w:val="center" w:pos="4513"/>
        <w:tab w:val="right" w:pos="9026"/>
      </w:tabs>
    </w:pPr>
  </w:style>
  <w:style w:type="character" w:customStyle="1" w:styleId="FooterChar">
    <w:name w:val="Footer Char"/>
    <w:basedOn w:val="DefaultParagraphFont"/>
    <w:link w:val="Footer"/>
    <w:uiPriority w:val="99"/>
    <w:rsid w:val="00BB5B9A"/>
    <w:rPr>
      <w:rFonts w:ascii="Arial" w:eastAsia="Arial" w:hAnsi="Arial" w:cs="Arial"/>
      <w:lang w:val="en-US"/>
    </w:rPr>
  </w:style>
  <w:style w:type="paragraph" w:styleId="BalloonText">
    <w:name w:val="Balloon Text"/>
    <w:basedOn w:val="Normal"/>
    <w:link w:val="BalloonTextChar"/>
    <w:uiPriority w:val="99"/>
    <w:semiHidden/>
    <w:unhideWhenUsed/>
    <w:rsid w:val="00BB5B9A"/>
    <w:rPr>
      <w:rFonts w:ascii="Tahoma" w:hAnsi="Tahoma" w:cs="Tahoma"/>
      <w:sz w:val="16"/>
      <w:szCs w:val="16"/>
    </w:rPr>
  </w:style>
  <w:style w:type="character" w:customStyle="1" w:styleId="BalloonTextChar">
    <w:name w:val="Balloon Text Char"/>
    <w:basedOn w:val="DefaultParagraphFont"/>
    <w:link w:val="BalloonText"/>
    <w:uiPriority w:val="99"/>
    <w:semiHidden/>
    <w:rsid w:val="00BB5B9A"/>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9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BB5B9A"/>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9A"/>
    <w:rPr>
      <w:rFonts w:ascii="Arial" w:eastAsia="Arial" w:hAnsi="Arial" w:cs="Arial"/>
      <w:b/>
      <w:bCs/>
      <w:sz w:val="24"/>
      <w:szCs w:val="24"/>
      <w:lang w:val="en-US"/>
    </w:rPr>
  </w:style>
  <w:style w:type="paragraph" w:styleId="BodyText">
    <w:name w:val="Body Text"/>
    <w:basedOn w:val="Normal"/>
    <w:link w:val="BodyTextChar"/>
    <w:uiPriority w:val="1"/>
    <w:qFormat/>
    <w:rsid w:val="00BB5B9A"/>
    <w:rPr>
      <w:sz w:val="24"/>
      <w:szCs w:val="24"/>
    </w:rPr>
  </w:style>
  <w:style w:type="character" w:customStyle="1" w:styleId="BodyTextChar">
    <w:name w:val="Body Text Char"/>
    <w:basedOn w:val="DefaultParagraphFont"/>
    <w:link w:val="BodyText"/>
    <w:uiPriority w:val="1"/>
    <w:rsid w:val="00BB5B9A"/>
    <w:rPr>
      <w:rFonts w:ascii="Arial" w:eastAsia="Arial" w:hAnsi="Arial" w:cs="Arial"/>
      <w:sz w:val="24"/>
      <w:szCs w:val="24"/>
      <w:lang w:val="en-US"/>
    </w:rPr>
  </w:style>
  <w:style w:type="paragraph" w:styleId="ListParagraph">
    <w:name w:val="List Paragraph"/>
    <w:basedOn w:val="Normal"/>
    <w:uiPriority w:val="1"/>
    <w:qFormat/>
    <w:rsid w:val="00BB5B9A"/>
    <w:pPr>
      <w:ind w:left="1420" w:hanging="360"/>
    </w:pPr>
  </w:style>
  <w:style w:type="paragraph" w:styleId="Header">
    <w:name w:val="header"/>
    <w:basedOn w:val="Normal"/>
    <w:link w:val="HeaderChar"/>
    <w:uiPriority w:val="99"/>
    <w:unhideWhenUsed/>
    <w:rsid w:val="00BB5B9A"/>
    <w:pPr>
      <w:tabs>
        <w:tab w:val="center" w:pos="4513"/>
        <w:tab w:val="right" w:pos="9026"/>
      </w:tabs>
    </w:pPr>
  </w:style>
  <w:style w:type="character" w:customStyle="1" w:styleId="HeaderChar">
    <w:name w:val="Header Char"/>
    <w:basedOn w:val="DefaultParagraphFont"/>
    <w:link w:val="Header"/>
    <w:uiPriority w:val="99"/>
    <w:rsid w:val="00BB5B9A"/>
    <w:rPr>
      <w:rFonts w:ascii="Arial" w:eastAsia="Arial" w:hAnsi="Arial" w:cs="Arial"/>
      <w:lang w:val="en-US"/>
    </w:rPr>
  </w:style>
  <w:style w:type="paragraph" w:styleId="Footer">
    <w:name w:val="footer"/>
    <w:basedOn w:val="Normal"/>
    <w:link w:val="FooterChar"/>
    <w:uiPriority w:val="99"/>
    <w:unhideWhenUsed/>
    <w:rsid w:val="00BB5B9A"/>
    <w:pPr>
      <w:tabs>
        <w:tab w:val="center" w:pos="4513"/>
        <w:tab w:val="right" w:pos="9026"/>
      </w:tabs>
    </w:pPr>
  </w:style>
  <w:style w:type="character" w:customStyle="1" w:styleId="FooterChar">
    <w:name w:val="Footer Char"/>
    <w:basedOn w:val="DefaultParagraphFont"/>
    <w:link w:val="Footer"/>
    <w:uiPriority w:val="99"/>
    <w:rsid w:val="00BB5B9A"/>
    <w:rPr>
      <w:rFonts w:ascii="Arial" w:eastAsia="Arial" w:hAnsi="Arial" w:cs="Arial"/>
      <w:lang w:val="en-US"/>
    </w:rPr>
  </w:style>
  <w:style w:type="paragraph" w:styleId="BalloonText">
    <w:name w:val="Balloon Text"/>
    <w:basedOn w:val="Normal"/>
    <w:link w:val="BalloonTextChar"/>
    <w:uiPriority w:val="99"/>
    <w:semiHidden/>
    <w:unhideWhenUsed/>
    <w:rsid w:val="00BB5B9A"/>
    <w:rPr>
      <w:rFonts w:ascii="Tahoma" w:hAnsi="Tahoma" w:cs="Tahoma"/>
      <w:sz w:val="16"/>
      <w:szCs w:val="16"/>
    </w:rPr>
  </w:style>
  <w:style w:type="character" w:customStyle="1" w:styleId="BalloonTextChar">
    <w:name w:val="Balloon Text Char"/>
    <w:basedOn w:val="DefaultParagraphFont"/>
    <w:link w:val="BalloonText"/>
    <w:uiPriority w:val="99"/>
    <w:semiHidden/>
    <w:rsid w:val="00BB5B9A"/>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07/10/section/3"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cie.org.uk/safeguarding/adults/introduction/types-and-indicators-of-abuse" TargetMode="External"/><Relationship Id="rId3" Type="http://schemas.microsoft.com/office/2007/relationships/stylesWithEffects" Target="stylesWithEffects.xml"/><Relationship Id="rId21" Type="http://schemas.openxmlformats.org/officeDocument/2006/relationships/hyperlink" Target="https://www.scie.org.uk/safeguarding/adults/introduction/types-and-indicators-of-abu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org.uk/safeguarding/adults/introduction/types-and-indicators-of-abuse" TargetMode="External"/><Relationship Id="rId17" Type="http://schemas.openxmlformats.org/officeDocument/2006/relationships/header" Target="header3.xml"/><Relationship Id="rId25" Type="http://schemas.openxmlformats.org/officeDocument/2006/relationships/hyperlink" Target="https://www.scie.org.uk/safeguarding/adults/introduction/types-and-indicators-of-abuse" TargetMode="External"/><Relationship Id="rId33" Type="http://schemas.openxmlformats.org/officeDocument/2006/relationships/hyperlink" Target="https://dictionary.cambridge.org/dictionary/english/infirmity"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scie.org.uk/safeguarding/adults/introduction/types-and-indicators-of-abuse" TargetMode="External"/><Relationship Id="rId29" Type="http://schemas.openxmlformats.org/officeDocument/2006/relationships/hyperlink" Target="https://www.legislation.gov.uk/asp/2003/13/section/3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org.uk/safeguarding" TargetMode="External"/><Relationship Id="rId24" Type="http://schemas.openxmlformats.org/officeDocument/2006/relationships/hyperlink" Target="https://www.scie.org.uk/safeguarding/adults/introduction/types-and-indicators-of-abuse" TargetMode="External"/><Relationship Id="rId32" Type="http://schemas.openxmlformats.org/officeDocument/2006/relationships/hyperlink" Target="https://www.legislation.gov.uk/asp/2018/5/contents/enacted"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scie.org.uk/safeguarding/adults/introduction/types-and-indicators-of-abuse" TargetMode="External"/><Relationship Id="rId28" Type="http://schemas.openxmlformats.org/officeDocument/2006/relationships/hyperlink" Target="https://www.nhsinform.scot/illnesses-and-conditions/mental-health/self-harm" TargetMode="External"/><Relationship Id="rId10" Type="http://schemas.openxmlformats.org/officeDocument/2006/relationships/hyperlink" Target="https://www.scie.org.uk/safeguarding" TargetMode="External"/><Relationship Id="rId19" Type="http://schemas.openxmlformats.org/officeDocument/2006/relationships/hyperlink" Target="https://www.scie.org.uk/safeguarding/adults/introduction/types-and-indicators-of-abuse" TargetMode="External"/><Relationship Id="rId31" Type="http://schemas.openxmlformats.org/officeDocument/2006/relationships/hyperlink" Target="https://www.gov.uk/government/publications/channel-and-prevent-multi-agency-panel-pmap-guidance" TargetMode="External"/><Relationship Id="rId4" Type="http://schemas.openxmlformats.org/officeDocument/2006/relationships/settings" Target="settings.xml"/><Relationship Id="rId9" Type="http://schemas.openxmlformats.org/officeDocument/2006/relationships/hyperlink" Target="https://www.legislation.gov.uk/asp/2007/10/section/53" TargetMode="External"/><Relationship Id="rId14" Type="http://schemas.openxmlformats.org/officeDocument/2006/relationships/header" Target="header2.xml"/><Relationship Id="rId22" Type="http://schemas.openxmlformats.org/officeDocument/2006/relationships/hyperlink" Target="https://www.scie.org.uk/safeguarding/adults/introduction/types-and-indicators-of-abuse" TargetMode="External"/><Relationship Id="rId27" Type="http://schemas.openxmlformats.org/officeDocument/2006/relationships/hyperlink" Target="https://www.scie.org.uk/safeguarding/adults/introduction/types-and-indicators-of-abuse" TargetMode="External"/><Relationship Id="rId30" Type="http://schemas.openxmlformats.org/officeDocument/2006/relationships/hyperlink" Target="https://www.legislation.gov.uk/ukpga/2015/6/schedule/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O'Sullivan (NHS Highland)</dc:creator>
  <cp:lastModifiedBy>Patrick O'Sullivan (NHS Highland)</cp:lastModifiedBy>
  <cp:revision>1</cp:revision>
  <dcterms:created xsi:type="dcterms:W3CDTF">2024-04-17T07:32:00Z</dcterms:created>
  <dcterms:modified xsi:type="dcterms:W3CDTF">2024-04-17T07:36:00Z</dcterms:modified>
</cp:coreProperties>
</file>