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544" w:rsidRDefault="00A21544" w:rsidP="00A21544">
      <w:pPr>
        <w:pStyle w:val="Heading1"/>
        <w:spacing w:before="239"/>
      </w:pPr>
      <w:r>
        <w:rPr>
          <w:spacing w:val="-2"/>
        </w:rPr>
        <w:t>Chronologies</w:t>
      </w:r>
    </w:p>
    <w:p w:rsidR="00A21544" w:rsidRDefault="00A21544" w:rsidP="00A21544">
      <w:pPr>
        <w:pStyle w:val="BodyText"/>
        <w:rPr>
          <w:b/>
        </w:rPr>
      </w:pPr>
    </w:p>
    <w:p w:rsidR="00A21544" w:rsidRDefault="00A21544" w:rsidP="00A21544">
      <w:pPr>
        <w:pStyle w:val="BodyText"/>
        <w:spacing w:before="1"/>
        <w:ind w:left="1057" w:right="639"/>
      </w:pPr>
      <w:r>
        <w:t>Chronologies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essential</w:t>
      </w:r>
      <w:r>
        <w:rPr>
          <w:spacing w:val="-3"/>
        </w:rPr>
        <w:t xml:space="preserve"> </w:t>
      </w:r>
      <w:r>
        <w:t>feature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adult</w:t>
      </w:r>
      <w:r>
        <w:rPr>
          <w:spacing w:val="-4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and protection activity.</w:t>
      </w:r>
    </w:p>
    <w:p w:rsidR="00A21544" w:rsidRDefault="00A21544" w:rsidP="00A21544">
      <w:pPr>
        <w:pStyle w:val="BodyText"/>
        <w:ind w:left="1057"/>
      </w:pPr>
      <w:r>
        <w:t xml:space="preserve">A chronology </w:t>
      </w:r>
      <w:r>
        <w:rPr>
          <w:spacing w:val="-5"/>
        </w:rPr>
        <w:t>is:</w:t>
      </w:r>
    </w:p>
    <w:p w:rsidR="00A21544" w:rsidRDefault="00A21544" w:rsidP="00A21544">
      <w:pPr>
        <w:pStyle w:val="ListParagraph"/>
        <w:numPr>
          <w:ilvl w:val="0"/>
          <w:numId w:val="1"/>
        </w:numPr>
        <w:tabs>
          <w:tab w:val="left" w:pos="1420"/>
        </w:tabs>
        <w:spacing w:before="22" w:line="223" w:lineRule="auto"/>
        <w:ind w:right="1065"/>
        <w:rPr>
          <w:rFonts w:ascii="Symbol" w:hAnsi="Symbol"/>
          <w:sz w:val="32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summary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events</w:t>
      </w:r>
      <w:r>
        <w:rPr>
          <w:spacing w:val="-3"/>
          <w:sz w:val="24"/>
        </w:rPr>
        <w:t xml:space="preserve"> </w:t>
      </w:r>
      <w:r>
        <w:rPr>
          <w:sz w:val="24"/>
        </w:rPr>
        <w:t>key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need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risk,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extracted from comprehensive case records and </w:t>
      </w:r>
      <w:proofErr w:type="spellStart"/>
      <w:r>
        <w:rPr>
          <w:sz w:val="24"/>
        </w:rPr>
        <w:t>organised</w:t>
      </w:r>
      <w:proofErr w:type="spellEnd"/>
      <w:r>
        <w:rPr>
          <w:sz w:val="24"/>
        </w:rPr>
        <w:t xml:space="preserve"> in date order</w:t>
      </w:r>
    </w:p>
    <w:p w:rsidR="00A21544" w:rsidRDefault="00A21544" w:rsidP="00A21544">
      <w:pPr>
        <w:pStyle w:val="ListParagraph"/>
        <w:numPr>
          <w:ilvl w:val="0"/>
          <w:numId w:val="1"/>
        </w:numPr>
        <w:tabs>
          <w:tab w:val="left" w:pos="1420"/>
        </w:tabs>
        <w:spacing w:before="4" w:line="383" w:lineRule="exact"/>
        <w:ind w:hanging="360"/>
        <w:rPr>
          <w:rFonts w:ascii="Symbol" w:hAnsi="Symbol"/>
          <w:sz w:val="32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summary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reflects</w:t>
      </w:r>
      <w:r>
        <w:rPr>
          <w:spacing w:val="-2"/>
          <w:sz w:val="24"/>
        </w:rPr>
        <w:t xml:space="preserve"> </w:t>
      </w:r>
      <w:r>
        <w:rPr>
          <w:sz w:val="24"/>
        </w:rPr>
        <w:t>both</w:t>
      </w:r>
      <w:r>
        <w:rPr>
          <w:spacing w:val="-2"/>
          <w:sz w:val="24"/>
        </w:rPr>
        <w:t xml:space="preserve"> </w:t>
      </w:r>
      <w:r>
        <w:rPr>
          <w:sz w:val="24"/>
        </w:rPr>
        <w:t>strengths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concerns</w:t>
      </w:r>
      <w:r>
        <w:rPr>
          <w:spacing w:val="-2"/>
          <w:sz w:val="24"/>
        </w:rPr>
        <w:t xml:space="preserve"> </w:t>
      </w:r>
      <w:r>
        <w:rPr>
          <w:sz w:val="24"/>
        </w:rPr>
        <w:t>evidenced</w:t>
      </w:r>
      <w:r>
        <w:rPr>
          <w:spacing w:val="-2"/>
          <w:sz w:val="24"/>
        </w:rPr>
        <w:t xml:space="preserve"> </w:t>
      </w:r>
      <w:r>
        <w:rPr>
          <w:sz w:val="24"/>
        </w:rPr>
        <w:t>over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time</w:t>
      </w:r>
    </w:p>
    <w:p w:rsidR="00A21544" w:rsidRDefault="00A21544" w:rsidP="00A21544">
      <w:pPr>
        <w:pStyle w:val="ListParagraph"/>
        <w:numPr>
          <w:ilvl w:val="0"/>
          <w:numId w:val="1"/>
        </w:numPr>
        <w:tabs>
          <w:tab w:val="left" w:pos="1420"/>
        </w:tabs>
        <w:spacing w:before="13" w:line="223" w:lineRule="auto"/>
        <w:ind w:right="651"/>
        <w:rPr>
          <w:rFonts w:ascii="Symbol" w:hAnsi="Symbol"/>
          <w:sz w:val="32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summary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highlights</w:t>
      </w:r>
      <w:r>
        <w:rPr>
          <w:spacing w:val="-4"/>
          <w:sz w:val="24"/>
        </w:rPr>
        <w:t xml:space="preserve"> </w:t>
      </w:r>
      <w:r>
        <w:rPr>
          <w:sz w:val="24"/>
        </w:rPr>
        <w:t>patterns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incidents</w:t>
      </w:r>
      <w:r>
        <w:rPr>
          <w:spacing w:val="-5"/>
          <w:sz w:val="24"/>
        </w:rPr>
        <w:t xml:space="preserve"> </w:t>
      </w:r>
      <w:r>
        <w:rPr>
          <w:sz w:val="24"/>
        </w:rPr>
        <w:t>critical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4"/>
          <w:sz w:val="24"/>
        </w:rPr>
        <w:t xml:space="preserve"> </w:t>
      </w:r>
      <w:r>
        <w:rPr>
          <w:sz w:val="24"/>
        </w:rPr>
        <w:t>of need, risk and harm</w:t>
      </w:r>
    </w:p>
    <w:p w:rsidR="00A21544" w:rsidRDefault="00A21544" w:rsidP="00A21544">
      <w:pPr>
        <w:pStyle w:val="ListParagraph"/>
        <w:numPr>
          <w:ilvl w:val="0"/>
          <w:numId w:val="1"/>
        </w:numPr>
        <w:tabs>
          <w:tab w:val="left" w:pos="1420"/>
        </w:tabs>
        <w:spacing w:before="109" w:line="225" w:lineRule="auto"/>
        <w:ind w:right="783"/>
        <w:rPr>
          <w:rFonts w:ascii="Symbol" w:hAnsi="Symbol"/>
          <w:sz w:val="32"/>
        </w:rPr>
      </w:pPr>
      <w:bookmarkStart w:id="0" w:name="_bookmark82"/>
      <w:bookmarkEnd w:id="0"/>
      <w:proofErr w:type="gramStart"/>
      <w:r>
        <w:rPr>
          <w:sz w:val="24"/>
        </w:rPr>
        <w:t>a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tool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used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inform</w:t>
      </w:r>
      <w:r>
        <w:rPr>
          <w:spacing w:val="-3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need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risk.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this context, this means risk of harm to an adult</w:t>
      </w:r>
    </w:p>
    <w:p w:rsidR="00A21544" w:rsidRDefault="00A21544" w:rsidP="00A21544">
      <w:pPr>
        <w:pStyle w:val="BodyText"/>
        <w:spacing w:before="1"/>
      </w:pPr>
    </w:p>
    <w:p w:rsidR="00A21544" w:rsidRDefault="00A21544" w:rsidP="00A21544">
      <w:pPr>
        <w:pStyle w:val="BodyText"/>
        <w:ind w:left="1057"/>
      </w:pPr>
      <w:r>
        <w:t xml:space="preserve">A chronology may </w:t>
      </w:r>
      <w:r>
        <w:rPr>
          <w:spacing w:val="-5"/>
        </w:rPr>
        <w:t>be:</w:t>
      </w:r>
    </w:p>
    <w:p w:rsidR="00A21544" w:rsidRDefault="00A21544" w:rsidP="00A21544">
      <w:pPr>
        <w:pStyle w:val="ListParagraph"/>
        <w:numPr>
          <w:ilvl w:val="0"/>
          <w:numId w:val="1"/>
        </w:numPr>
        <w:tabs>
          <w:tab w:val="left" w:pos="1420"/>
        </w:tabs>
        <w:spacing w:line="382" w:lineRule="exact"/>
        <w:ind w:hanging="360"/>
        <w:rPr>
          <w:rFonts w:ascii="Symbol" w:hAnsi="Symbol"/>
          <w:sz w:val="32"/>
        </w:rPr>
      </w:pPr>
      <w:r>
        <w:rPr>
          <w:spacing w:val="-2"/>
          <w:sz w:val="24"/>
        </w:rPr>
        <w:t>single-agency</w:t>
      </w:r>
    </w:p>
    <w:p w:rsidR="00A21544" w:rsidRDefault="00A21544" w:rsidP="00A21544">
      <w:pPr>
        <w:pStyle w:val="ListParagraph"/>
        <w:numPr>
          <w:ilvl w:val="0"/>
          <w:numId w:val="1"/>
        </w:numPr>
        <w:tabs>
          <w:tab w:val="left" w:pos="1420"/>
        </w:tabs>
        <w:spacing w:line="382" w:lineRule="exact"/>
        <w:ind w:hanging="360"/>
        <w:rPr>
          <w:rFonts w:ascii="Symbol" w:hAnsi="Symbol"/>
          <w:sz w:val="32"/>
        </w:rPr>
      </w:pPr>
      <w:r>
        <w:rPr>
          <w:spacing w:val="-2"/>
          <w:sz w:val="24"/>
        </w:rPr>
        <w:t>multi-agency</w:t>
      </w:r>
    </w:p>
    <w:p w:rsidR="00A21544" w:rsidRDefault="00A21544" w:rsidP="00A21544">
      <w:pPr>
        <w:pStyle w:val="BodyText"/>
        <w:spacing w:before="73"/>
      </w:pPr>
    </w:p>
    <w:p w:rsidR="00A21544" w:rsidRDefault="00A21544" w:rsidP="00A21544">
      <w:pPr>
        <w:pStyle w:val="BodyText"/>
        <w:ind w:left="1057" w:right="639"/>
      </w:pPr>
      <w:r>
        <w:t>A multi-agency chronology must comply with information sharing guidance and protocols in the way that it is developed, held, shared and reviewed; reflecting information sharing guidance in this document, including duties to cooperate under</w:t>
      </w:r>
      <w:r>
        <w:rPr>
          <w:spacing w:val="-4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Act.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b/>
        </w:rPr>
        <w:t>accurate,</w:t>
      </w:r>
      <w:r>
        <w:rPr>
          <w:b/>
          <w:spacing w:val="-4"/>
        </w:rPr>
        <w:t xml:space="preserve"> </w:t>
      </w:r>
      <w:r>
        <w:rPr>
          <w:b/>
        </w:rPr>
        <w:t>relevant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proportionate</w:t>
      </w:r>
      <w:r>
        <w:rPr>
          <w:b/>
          <w:spacing w:val="-4"/>
        </w:rPr>
        <w:t xml:space="preserve"> </w:t>
      </w:r>
      <w:r>
        <w:t xml:space="preserve">to </w:t>
      </w:r>
      <w:r>
        <w:rPr>
          <w:spacing w:val="-2"/>
        </w:rPr>
        <w:t>purpose.</w:t>
      </w:r>
    </w:p>
    <w:p w:rsidR="00A21544" w:rsidRDefault="00A21544" w:rsidP="00A21544">
      <w:pPr>
        <w:pStyle w:val="BodyText"/>
      </w:pPr>
    </w:p>
    <w:p w:rsidR="00A21544" w:rsidRDefault="00A21544" w:rsidP="00A21544">
      <w:pPr>
        <w:pStyle w:val="BodyText"/>
        <w:ind w:left="1057"/>
      </w:pPr>
      <w:r>
        <w:t>A</w:t>
      </w:r>
      <w:r>
        <w:rPr>
          <w:spacing w:val="-3"/>
        </w:rPr>
        <w:t xml:space="preserve"> </w:t>
      </w:r>
      <w:r>
        <w:t>multi-agency</w:t>
      </w:r>
      <w:r>
        <w:rPr>
          <w:spacing w:val="-2"/>
        </w:rPr>
        <w:t xml:space="preserve"> chronology:</w:t>
      </w:r>
    </w:p>
    <w:p w:rsidR="00A21544" w:rsidRDefault="00A21544" w:rsidP="00A21544">
      <w:pPr>
        <w:pStyle w:val="ListParagraph"/>
        <w:numPr>
          <w:ilvl w:val="0"/>
          <w:numId w:val="1"/>
        </w:numPr>
        <w:tabs>
          <w:tab w:val="left" w:pos="1420"/>
        </w:tabs>
        <w:spacing w:line="382" w:lineRule="exact"/>
        <w:ind w:hanging="360"/>
        <w:rPr>
          <w:rFonts w:ascii="Symbol" w:hAnsi="Symbol"/>
          <w:sz w:val="32"/>
        </w:rPr>
      </w:pP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synthesis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draws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single-agency</w:t>
      </w:r>
      <w:r>
        <w:rPr>
          <w:spacing w:val="-2"/>
          <w:sz w:val="24"/>
        </w:rPr>
        <w:t xml:space="preserve"> chronologies</w:t>
      </w:r>
    </w:p>
    <w:p w:rsidR="00A21544" w:rsidRDefault="00A21544" w:rsidP="00A21544">
      <w:pPr>
        <w:pStyle w:val="ListParagraph"/>
        <w:numPr>
          <w:ilvl w:val="0"/>
          <w:numId w:val="1"/>
        </w:numPr>
        <w:tabs>
          <w:tab w:val="left" w:pos="1420"/>
        </w:tabs>
        <w:spacing w:line="373" w:lineRule="exact"/>
        <w:ind w:hanging="360"/>
        <w:rPr>
          <w:rFonts w:ascii="Symbol" w:hAnsi="Symbol"/>
          <w:sz w:val="32"/>
        </w:rPr>
      </w:pPr>
      <w:r>
        <w:rPr>
          <w:sz w:val="24"/>
        </w:rPr>
        <w:t>reflects</w:t>
      </w:r>
      <w:r>
        <w:rPr>
          <w:spacing w:val="-2"/>
          <w:sz w:val="24"/>
        </w:rPr>
        <w:t xml:space="preserve"> </w:t>
      </w:r>
      <w:r>
        <w:rPr>
          <w:sz w:val="24"/>
        </w:rPr>
        <w:t>relevant</w:t>
      </w:r>
      <w:r>
        <w:rPr>
          <w:spacing w:val="-1"/>
          <w:sz w:val="24"/>
        </w:rPr>
        <w:t xml:space="preserve"> </w:t>
      </w:r>
      <w:r>
        <w:rPr>
          <w:sz w:val="24"/>
        </w:rPr>
        <w:t>experiences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impact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events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adult</w:t>
      </w:r>
    </w:p>
    <w:p w:rsidR="00A21544" w:rsidRDefault="00A21544" w:rsidP="00A21544">
      <w:pPr>
        <w:pStyle w:val="ListParagraph"/>
        <w:numPr>
          <w:ilvl w:val="0"/>
          <w:numId w:val="1"/>
        </w:numPr>
        <w:tabs>
          <w:tab w:val="left" w:pos="1420"/>
        </w:tabs>
        <w:spacing w:line="373" w:lineRule="exact"/>
        <w:ind w:hanging="360"/>
        <w:rPr>
          <w:rFonts w:ascii="Symbol" w:hAnsi="Symbol"/>
          <w:sz w:val="32"/>
        </w:rPr>
      </w:pP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include</w:t>
      </w:r>
      <w:r>
        <w:rPr>
          <w:spacing w:val="-3"/>
          <w:sz w:val="24"/>
        </w:rPr>
        <w:t xml:space="preserve"> </w:t>
      </w:r>
      <w:r>
        <w:rPr>
          <w:sz w:val="24"/>
        </w:rPr>
        <w:t>turning</w:t>
      </w:r>
      <w:r>
        <w:rPr>
          <w:spacing w:val="-3"/>
          <w:sz w:val="24"/>
        </w:rPr>
        <w:t xml:space="preserve"> </w:t>
      </w:r>
      <w:r>
        <w:rPr>
          <w:sz w:val="24"/>
        </w:rPr>
        <w:t>points,</w:t>
      </w:r>
      <w:r>
        <w:rPr>
          <w:spacing w:val="-3"/>
          <w:sz w:val="24"/>
        </w:rPr>
        <w:t xml:space="preserve"> </w:t>
      </w:r>
      <w:r>
        <w:rPr>
          <w:sz w:val="24"/>
        </w:rPr>
        <w:t>indications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progress</w:t>
      </w:r>
      <w:r>
        <w:rPr>
          <w:spacing w:val="-3"/>
          <w:sz w:val="24"/>
        </w:rPr>
        <w:t xml:space="preserve"> </w:t>
      </w:r>
      <w:r>
        <w:rPr>
          <w:sz w:val="24"/>
        </w:rPr>
        <w:t>and/or</w:t>
      </w:r>
      <w:r>
        <w:rPr>
          <w:spacing w:val="-2"/>
          <w:sz w:val="24"/>
        </w:rPr>
        <w:t xml:space="preserve"> relapse</w:t>
      </w:r>
    </w:p>
    <w:p w:rsidR="00A21544" w:rsidRDefault="00A21544" w:rsidP="00A21544">
      <w:pPr>
        <w:pStyle w:val="ListParagraph"/>
        <w:numPr>
          <w:ilvl w:val="0"/>
          <w:numId w:val="1"/>
        </w:numPr>
        <w:tabs>
          <w:tab w:val="left" w:pos="1420"/>
        </w:tabs>
        <w:spacing w:line="373" w:lineRule="exact"/>
        <w:ind w:hanging="360"/>
        <w:rPr>
          <w:rFonts w:ascii="Symbol" w:hAnsi="Symbol"/>
          <w:sz w:val="32"/>
        </w:rPr>
      </w:pP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inform</w:t>
      </w:r>
      <w:r>
        <w:rPr>
          <w:spacing w:val="-1"/>
          <w:sz w:val="24"/>
        </w:rPr>
        <w:t xml:space="preserve"> </w:t>
      </w:r>
      <w:r>
        <w:rPr>
          <w:sz w:val="24"/>
        </w:rPr>
        <w:t>analysis,</w:t>
      </w:r>
      <w:r>
        <w:rPr>
          <w:spacing w:val="-1"/>
          <w:sz w:val="24"/>
        </w:rPr>
        <w:t xml:space="preserve"> </w:t>
      </w:r>
      <w:r>
        <w:rPr>
          <w:sz w:val="24"/>
        </w:rPr>
        <w:t>but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itself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 </w:t>
      </w:r>
      <w:r>
        <w:rPr>
          <w:spacing w:val="-2"/>
          <w:sz w:val="24"/>
        </w:rPr>
        <w:t>assessment</w:t>
      </w:r>
    </w:p>
    <w:p w:rsidR="00A21544" w:rsidRDefault="00A21544" w:rsidP="00A21544">
      <w:pPr>
        <w:pStyle w:val="ListParagraph"/>
        <w:numPr>
          <w:ilvl w:val="0"/>
          <w:numId w:val="1"/>
        </w:numPr>
        <w:tabs>
          <w:tab w:val="left" w:pos="1420"/>
        </w:tabs>
        <w:spacing w:line="373" w:lineRule="exact"/>
        <w:ind w:hanging="360"/>
        <w:rPr>
          <w:rFonts w:ascii="Symbol" w:hAnsi="Symbol"/>
          <w:sz w:val="32"/>
        </w:rPr>
      </w:pP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evolve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flexible</w:t>
      </w:r>
      <w:r>
        <w:rPr>
          <w:spacing w:val="-2"/>
          <w:sz w:val="24"/>
        </w:rPr>
        <w:t xml:space="preserve"> </w:t>
      </w:r>
      <w:r>
        <w:rPr>
          <w:sz w:val="24"/>
        </w:rPr>
        <w:t>way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integrate</w:t>
      </w:r>
      <w:r>
        <w:rPr>
          <w:spacing w:val="-2"/>
          <w:sz w:val="24"/>
        </w:rPr>
        <w:t xml:space="preserve"> </w:t>
      </w:r>
      <w:r>
        <w:rPr>
          <w:sz w:val="24"/>
        </w:rPr>
        <w:t>further</w:t>
      </w:r>
      <w:r>
        <w:rPr>
          <w:spacing w:val="-2"/>
          <w:sz w:val="24"/>
        </w:rPr>
        <w:t xml:space="preserve"> </w:t>
      </w:r>
      <w:r>
        <w:rPr>
          <w:sz w:val="24"/>
        </w:rPr>
        <w:t>necessary</w:t>
      </w:r>
      <w:r>
        <w:rPr>
          <w:spacing w:val="-2"/>
          <w:sz w:val="24"/>
        </w:rPr>
        <w:t xml:space="preserve"> detail</w:t>
      </w:r>
    </w:p>
    <w:p w:rsidR="00A21544" w:rsidRDefault="00A21544" w:rsidP="00A21544">
      <w:pPr>
        <w:pStyle w:val="ListParagraph"/>
        <w:numPr>
          <w:ilvl w:val="0"/>
          <w:numId w:val="1"/>
        </w:numPr>
        <w:tabs>
          <w:tab w:val="left" w:pos="1420"/>
        </w:tabs>
        <w:spacing w:line="373" w:lineRule="exact"/>
        <w:ind w:hanging="360"/>
        <w:rPr>
          <w:rFonts w:ascii="Symbol" w:hAnsi="Symbol"/>
          <w:sz w:val="32"/>
        </w:rPr>
      </w:pP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highlight</w:t>
      </w:r>
      <w:r>
        <w:rPr>
          <w:spacing w:val="-3"/>
          <w:sz w:val="24"/>
        </w:rPr>
        <w:t xml:space="preserve"> </w:t>
      </w:r>
      <w:r>
        <w:rPr>
          <w:sz w:val="24"/>
        </w:rPr>
        <w:t>further</w:t>
      </w:r>
      <w:r>
        <w:rPr>
          <w:spacing w:val="-2"/>
          <w:sz w:val="24"/>
        </w:rPr>
        <w:t xml:space="preserve"> </w:t>
      </w:r>
      <w:r>
        <w:rPr>
          <w:sz w:val="24"/>
        </w:rPr>
        <w:t>assessment,</w:t>
      </w:r>
      <w:r>
        <w:rPr>
          <w:spacing w:val="-1"/>
          <w:sz w:val="24"/>
        </w:rPr>
        <w:t xml:space="preserve"> </w:t>
      </w:r>
      <w:r>
        <w:rPr>
          <w:sz w:val="24"/>
        </w:rPr>
        <w:t>exploration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support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needed</w:t>
      </w:r>
    </w:p>
    <w:p w:rsidR="00A21544" w:rsidRDefault="00A21544" w:rsidP="00A21544">
      <w:pPr>
        <w:pStyle w:val="ListParagraph"/>
        <w:numPr>
          <w:ilvl w:val="0"/>
          <w:numId w:val="1"/>
        </w:numPr>
        <w:tabs>
          <w:tab w:val="left" w:pos="1420"/>
        </w:tabs>
        <w:spacing w:line="382" w:lineRule="exact"/>
        <w:ind w:hanging="360"/>
        <w:rPr>
          <w:rFonts w:ascii="Symbol" w:hAnsi="Symbol"/>
          <w:sz w:val="32"/>
        </w:rPr>
      </w:pP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tool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used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supervision</w:t>
      </w:r>
    </w:p>
    <w:p w:rsidR="00A21544" w:rsidRDefault="00A21544" w:rsidP="00A21544">
      <w:pPr>
        <w:pStyle w:val="BodyText"/>
        <w:spacing w:before="72"/>
      </w:pPr>
    </w:p>
    <w:p w:rsidR="00A21544" w:rsidRDefault="00A21544" w:rsidP="00A21544">
      <w:pPr>
        <w:pStyle w:val="BodyText"/>
        <w:ind w:left="1057"/>
      </w:pPr>
      <w:r>
        <w:t>A</w:t>
      </w:r>
      <w:r>
        <w:rPr>
          <w:spacing w:val="-3"/>
        </w:rPr>
        <w:t xml:space="preserve"> </w:t>
      </w:r>
      <w:r>
        <w:t>chronology,</w:t>
      </w:r>
      <w:r>
        <w:rPr>
          <w:spacing w:val="-4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>single-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multi-</w:t>
      </w:r>
      <w:r>
        <w:rPr>
          <w:spacing w:val="-2"/>
        </w:rPr>
        <w:t>agency:</w:t>
      </w:r>
    </w:p>
    <w:p w:rsidR="00A21544" w:rsidRDefault="00A21544" w:rsidP="00A21544">
      <w:pPr>
        <w:pStyle w:val="ListParagraph"/>
        <w:numPr>
          <w:ilvl w:val="0"/>
          <w:numId w:val="1"/>
        </w:numPr>
        <w:tabs>
          <w:tab w:val="left" w:pos="1420"/>
        </w:tabs>
        <w:spacing w:line="382" w:lineRule="exact"/>
        <w:ind w:hanging="360"/>
        <w:rPr>
          <w:rFonts w:ascii="Symbol" w:hAnsi="Symbol"/>
          <w:sz w:val="32"/>
        </w:rPr>
      </w:pP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3"/>
          <w:sz w:val="24"/>
        </w:rPr>
        <w:t xml:space="preserve"> </w:t>
      </w:r>
      <w:r>
        <w:rPr>
          <w:sz w:val="24"/>
        </w:rPr>
        <w:t>case</w:t>
      </w:r>
      <w:r>
        <w:rPr>
          <w:spacing w:val="-3"/>
          <w:sz w:val="24"/>
        </w:rPr>
        <w:t xml:space="preserve"> </w:t>
      </w:r>
      <w:r>
        <w:rPr>
          <w:sz w:val="24"/>
        </w:rPr>
        <w:t>record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cannot</w:t>
      </w:r>
      <w:r>
        <w:rPr>
          <w:spacing w:val="-3"/>
          <w:sz w:val="24"/>
        </w:rPr>
        <w:t xml:space="preserve"> </w:t>
      </w:r>
      <w:r>
        <w:rPr>
          <w:sz w:val="24"/>
        </w:rPr>
        <w:t>substitute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records</w:t>
      </w:r>
    </w:p>
    <w:p w:rsidR="00A21544" w:rsidRDefault="00A21544" w:rsidP="00A21544">
      <w:pPr>
        <w:pStyle w:val="ListParagraph"/>
        <w:numPr>
          <w:ilvl w:val="0"/>
          <w:numId w:val="1"/>
        </w:numPr>
        <w:tabs>
          <w:tab w:val="left" w:pos="1420"/>
        </w:tabs>
        <w:spacing w:line="382" w:lineRule="exact"/>
        <w:ind w:hanging="360"/>
        <w:rPr>
          <w:rFonts w:ascii="Symbol" w:hAnsi="Symbol"/>
          <w:sz w:val="32"/>
        </w:rPr>
      </w:pP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not a list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exclusively adverse </w:t>
      </w:r>
      <w:r>
        <w:rPr>
          <w:spacing w:val="-2"/>
          <w:sz w:val="24"/>
        </w:rPr>
        <w:t>circumstances</w:t>
      </w:r>
    </w:p>
    <w:p w:rsidR="00A21544" w:rsidRDefault="00A21544" w:rsidP="00A21544">
      <w:pPr>
        <w:pStyle w:val="BodyText"/>
        <w:spacing w:before="257"/>
        <w:ind w:left="1057" w:right="639"/>
      </w:pPr>
      <w:r>
        <w:t>A</w:t>
      </w:r>
      <w:r>
        <w:rPr>
          <w:spacing w:val="-3"/>
        </w:rPr>
        <w:t xml:space="preserve"> </w:t>
      </w:r>
      <w:r>
        <w:t>multi-agency</w:t>
      </w:r>
      <w:r>
        <w:rPr>
          <w:spacing w:val="-3"/>
        </w:rPr>
        <w:t xml:space="preserve"> </w:t>
      </w:r>
      <w:r>
        <w:t>chronology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likely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developed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officer</w:t>
      </w:r>
      <w:r>
        <w:rPr>
          <w:spacing w:val="-4"/>
        </w:rPr>
        <w:t xml:space="preserve"> </w:t>
      </w:r>
      <w:r>
        <w:t xml:space="preserve">as part of inquiries, to contribute to the risk </w:t>
      </w:r>
      <w:r>
        <w:lastRenderedPageBreak/>
        <w:t>assessment and subsequent decisions. Contribution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chronology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collective</w:t>
      </w:r>
      <w:r>
        <w:rPr>
          <w:spacing w:val="-4"/>
        </w:rPr>
        <w:t xml:space="preserve"> </w:t>
      </w:r>
      <w:r>
        <w:t>responsibility.</w:t>
      </w:r>
      <w:r>
        <w:rPr>
          <w:spacing w:val="-4"/>
        </w:rPr>
        <w:t xml:space="preserve"> </w:t>
      </w:r>
      <w:r>
        <w:t>Forming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chronology should</w:t>
      </w:r>
      <w:r>
        <w:rPr>
          <w:spacing w:val="-3"/>
        </w:rPr>
        <w:t xml:space="preserve"> </w:t>
      </w:r>
      <w:r>
        <w:t>assist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shared</w:t>
      </w:r>
      <w:r>
        <w:rPr>
          <w:spacing w:val="-3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involved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risk assessment, as well as to contribute to any subsequent support and protection plan, if appropriate. The perspective of the adult at the </w:t>
      </w:r>
      <w:proofErr w:type="spellStart"/>
      <w:r>
        <w:t>centre</w:t>
      </w:r>
      <w:proofErr w:type="spellEnd"/>
      <w:r>
        <w:t xml:space="preserve"> of the adult protection process should be explored to gain understanding of the impact of events and to check their perception of accuracy.</w:t>
      </w:r>
    </w:p>
    <w:p w:rsidR="00A21544" w:rsidRDefault="00A21544" w:rsidP="00A21544">
      <w:pPr>
        <w:pStyle w:val="BodyText"/>
      </w:pPr>
    </w:p>
    <w:p w:rsidR="00A21544" w:rsidRDefault="00A21544" w:rsidP="00A21544">
      <w:pPr>
        <w:pStyle w:val="BodyText"/>
        <w:ind w:left="1057" w:right="639"/>
      </w:pPr>
      <w:r>
        <w:t>The format of a chronology should record purpose, authorship and date of completion.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nature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sequence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events;</w:t>
      </w:r>
      <w:r>
        <w:rPr>
          <w:spacing w:val="-5"/>
        </w:rPr>
        <w:t xml:space="preserve"> </w:t>
      </w:r>
      <w:r>
        <w:t>outcomes</w:t>
      </w:r>
      <w:r>
        <w:rPr>
          <w:spacing w:val="-3"/>
        </w:rPr>
        <w:t xml:space="preserve"> </w:t>
      </w:r>
      <w:r>
        <w:t>or impact on the adult; sources of information; and responses to events as necessary for the purpose of this adult support and protection assessment.</w:t>
      </w:r>
    </w:p>
    <w:p w:rsidR="00A21544" w:rsidRDefault="00A21544" w:rsidP="00A21544">
      <w:pPr>
        <w:pStyle w:val="BodyText"/>
        <w:ind w:left="1057" w:right="639"/>
      </w:pPr>
    </w:p>
    <w:p w:rsidR="00A21544" w:rsidRDefault="00A21544" w:rsidP="00A21544">
      <w:pPr>
        <w:pStyle w:val="BodyText"/>
        <w:ind w:left="1057" w:right="639"/>
      </w:pPr>
      <w:bookmarkStart w:id="1" w:name="_GoBack"/>
      <w:bookmarkEnd w:id="1"/>
      <w:r>
        <w:t>Guidance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Inspectorate’s</w:t>
      </w:r>
      <w:r>
        <w:rPr>
          <w:spacing w:val="-4"/>
        </w:rPr>
        <w:t xml:space="preserve"> </w:t>
      </w:r>
      <w:hyperlink r:id="rId8">
        <w:r>
          <w:rPr>
            <w:color w:val="0000FF"/>
            <w:u w:val="single" w:color="0000FF"/>
          </w:rPr>
          <w:t>Practice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guide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to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chronologies</w:t>
        </w:r>
      </w:hyperlink>
      <w:r>
        <w:rPr>
          <w:color w:val="0000FF"/>
        </w:rPr>
        <w:t xml:space="preserve"> </w:t>
      </w:r>
      <w:hyperlink r:id="rId9">
        <w:r>
          <w:rPr>
            <w:color w:val="0000FF"/>
            <w:spacing w:val="-2"/>
            <w:u w:val="single" w:color="0000FF"/>
          </w:rPr>
          <w:t>2017</w:t>
        </w:r>
      </w:hyperlink>
      <w:r>
        <w:rPr>
          <w:spacing w:val="-2"/>
        </w:rPr>
        <w:t>.</w:t>
      </w:r>
    </w:p>
    <w:p w:rsidR="00A2199D" w:rsidRDefault="00A8790A"/>
    <w:sectPr w:rsidR="00A2199D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90A" w:rsidRDefault="00A8790A" w:rsidP="00A21544">
      <w:r>
        <w:separator/>
      </w:r>
    </w:p>
  </w:endnote>
  <w:endnote w:type="continuationSeparator" w:id="0">
    <w:p w:rsidR="00A8790A" w:rsidRDefault="00A8790A" w:rsidP="00A21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544" w:rsidRDefault="00A21544">
    <w:pPr>
      <w:pStyle w:val="Footer"/>
      <w:rPr>
        <w:sz w:val="20"/>
        <w:szCs w:val="20"/>
      </w:rPr>
    </w:pPr>
    <w:r>
      <w:rPr>
        <w:sz w:val="20"/>
        <w:szCs w:val="20"/>
      </w:rPr>
      <w:t>Excerpt from Chapter 8 Adult Support and Protection Act (Scotland) 2007 Code of Practice July 2022</w:t>
    </w:r>
  </w:p>
  <w:p w:rsidR="00A21544" w:rsidRPr="00A21544" w:rsidRDefault="00A21544">
    <w:pPr>
      <w:pStyle w:val="Footer"/>
      <w:rPr>
        <w:sz w:val="20"/>
        <w:szCs w:val="20"/>
      </w:rPr>
    </w:pPr>
    <w:r>
      <w:rPr>
        <w:sz w:val="20"/>
        <w:szCs w:val="20"/>
      </w:rPr>
      <w:t>© Crown copyright 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90A" w:rsidRDefault="00A8790A" w:rsidP="00A21544">
      <w:r>
        <w:separator/>
      </w:r>
    </w:p>
  </w:footnote>
  <w:footnote w:type="continuationSeparator" w:id="0">
    <w:p w:rsidR="00A8790A" w:rsidRDefault="00A8790A" w:rsidP="00A21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E13BF"/>
    <w:multiLevelType w:val="hybridMultilevel"/>
    <w:tmpl w:val="FFFFFFFF"/>
    <w:lvl w:ilvl="0" w:tplc="836C25DE">
      <w:numFmt w:val="bullet"/>
      <w:lvlText w:val=""/>
      <w:lvlJc w:val="left"/>
      <w:pPr>
        <w:ind w:left="1420" w:hanging="361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1C1A6502">
      <w:numFmt w:val="bullet"/>
      <w:lvlText w:val=""/>
      <w:lvlJc w:val="left"/>
      <w:pPr>
        <w:ind w:left="199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4EE7064">
      <w:numFmt w:val="bullet"/>
      <w:lvlText w:val="•"/>
      <w:lvlJc w:val="left"/>
      <w:pPr>
        <w:ind w:left="2922" w:hanging="361"/>
      </w:pPr>
      <w:rPr>
        <w:rFonts w:hint="default"/>
        <w:lang w:val="en-US" w:eastAsia="en-US" w:bidi="ar-SA"/>
      </w:rPr>
    </w:lvl>
    <w:lvl w:ilvl="3" w:tplc="30048812">
      <w:numFmt w:val="bullet"/>
      <w:lvlText w:val="•"/>
      <w:lvlJc w:val="left"/>
      <w:pPr>
        <w:ind w:left="3845" w:hanging="361"/>
      </w:pPr>
      <w:rPr>
        <w:rFonts w:hint="default"/>
        <w:lang w:val="en-US" w:eastAsia="en-US" w:bidi="ar-SA"/>
      </w:rPr>
    </w:lvl>
    <w:lvl w:ilvl="4" w:tplc="C37CE2A6">
      <w:numFmt w:val="bullet"/>
      <w:lvlText w:val="•"/>
      <w:lvlJc w:val="left"/>
      <w:pPr>
        <w:ind w:left="4768" w:hanging="361"/>
      </w:pPr>
      <w:rPr>
        <w:rFonts w:hint="default"/>
        <w:lang w:val="en-US" w:eastAsia="en-US" w:bidi="ar-SA"/>
      </w:rPr>
    </w:lvl>
    <w:lvl w:ilvl="5" w:tplc="8910B18C">
      <w:numFmt w:val="bullet"/>
      <w:lvlText w:val="•"/>
      <w:lvlJc w:val="left"/>
      <w:pPr>
        <w:ind w:left="5691" w:hanging="361"/>
      </w:pPr>
      <w:rPr>
        <w:rFonts w:hint="default"/>
        <w:lang w:val="en-US" w:eastAsia="en-US" w:bidi="ar-SA"/>
      </w:rPr>
    </w:lvl>
    <w:lvl w:ilvl="6" w:tplc="D0BC78E2">
      <w:numFmt w:val="bullet"/>
      <w:lvlText w:val="•"/>
      <w:lvlJc w:val="left"/>
      <w:pPr>
        <w:ind w:left="6614" w:hanging="361"/>
      </w:pPr>
      <w:rPr>
        <w:rFonts w:hint="default"/>
        <w:lang w:val="en-US" w:eastAsia="en-US" w:bidi="ar-SA"/>
      </w:rPr>
    </w:lvl>
    <w:lvl w:ilvl="7" w:tplc="0F5480CA">
      <w:numFmt w:val="bullet"/>
      <w:lvlText w:val="•"/>
      <w:lvlJc w:val="left"/>
      <w:pPr>
        <w:ind w:left="7537" w:hanging="361"/>
      </w:pPr>
      <w:rPr>
        <w:rFonts w:hint="default"/>
        <w:lang w:val="en-US" w:eastAsia="en-US" w:bidi="ar-SA"/>
      </w:rPr>
    </w:lvl>
    <w:lvl w:ilvl="8" w:tplc="4F5863BE">
      <w:numFmt w:val="bullet"/>
      <w:lvlText w:val="•"/>
      <w:lvlJc w:val="left"/>
      <w:pPr>
        <w:ind w:left="8459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544"/>
    <w:rsid w:val="007F7CE6"/>
    <w:rsid w:val="00A21544"/>
    <w:rsid w:val="00A8790A"/>
    <w:rsid w:val="00FC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54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link w:val="Heading1Char"/>
    <w:uiPriority w:val="9"/>
    <w:qFormat/>
    <w:rsid w:val="00A21544"/>
    <w:pPr>
      <w:ind w:left="105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544"/>
    <w:rPr>
      <w:rFonts w:ascii="Arial" w:eastAsia="Arial" w:hAnsi="Arial" w:cs="Arial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A2154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21544"/>
    <w:rPr>
      <w:rFonts w:ascii="Arial" w:eastAsia="Arial" w:hAnsi="Arial" w:cs="Arial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A21544"/>
    <w:pPr>
      <w:ind w:left="1420" w:hanging="360"/>
    </w:pPr>
  </w:style>
  <w:style w:type="paragraph" w:styleId="Header">
    <w:name w:val="header"/>
    <w:basedOn w:val="Normal"/>
    <w:link w:val="HeaderChar"/>
    <w:uiPriority w:val="99"/>
    <w:unhideWhenUsed/>
    <w:rsid w:val="00A215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544"/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215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544"/>
    <w:rPr>
      <w:rFonts w:ascii="Arial" w:eastAsia="Arial" w:hAnsi="Arial" w:cs="Aria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54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link w:val="Heading1Char"/>
    <w:uiPriority w:val="9"/>
    <w:qFormat/>
    <w:rsid w:val="00A21544"/>
    <w:pPr>
      <w:ind w:left="105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544"/>
    <w:rPr>
      <w:rFonts w:ascii="Arial" w:eastAsia="Arial" w:hAnsi="Arial" w:cs="Arial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A2154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21544"/>
    <w:rPr>
      <w:rFonts w:ascii="Arial" w:eastAsia="Arial" w:hAnsi="Arial" w:cs="Arial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A21544"/>
    <w:pPr>
      <w:ind w:left="1420" w:hanging="360"/>
    </w:pPr>
  </w:style>
  <w:style w:type="paragraph" w:styleId="Header">
    <w:name w:val="header"/>
    <w:basedOn w:val="Normal"/>
    <w:link w:val="HeaderChar"/>
    <w:uiPriority w:val="99"/>
    <w:unhideWhenUsed/>
    <w:rsid w:val="00A215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544"/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215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544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einspectorate.com/images/documents/3670/Practice%20guide%20to%20chronologies%202017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areinspectorate.com/images/documents/3670/Practice%20guide%20to%20chronologies%20201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Highland</Company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O'Sullivan (NHS Highland)</dc:creator>
  <cp:lastModifiedBy>Patrick O'Sullivan (NHS Highland)</cp:lastModifiedBy>
  <cp:revision>1</cp:revision>
  <dcterms:created xsi:type="dcterms:W3CDTF">2024-04-17T07:52:00Z</dcterms:created>
  <dcterms:modified xsi:type="dcterms:W3CDTF">2024-04-17T07:54:00Z</dcterms:modified>
</cp:coreProperties>
</file>